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ED46D" w14:textId="77777777" w:rsidR="007B6631" w:rsidRDefault="007B6631" w:rsidP="005F0271">
      <w:pPr>
        <w:jc w:val="center"/>
        <w:rPr>
          <w:b/>
          <w:bCs/>
          <w:sz w:val="26"/>
          <w:szCs w:val="26"/>
          <w:rtl/>
        </w:rPr>
      </w:pPr>
      <w:bookmarkStart w:id="0" w:name="_GoBack"/>
      <w:bookmarkEnd w:id="0"/>
      <w:r>
        <w:rPr>
          <w:noProof/>
        </w:rPr>
        <w:drawing>
          <wp:inline distT="0" distB="0" distL="0" distR="0" wp14:anchorId="09FD4587" wp14:editId="5460F4A7">
            <wp:extent cx="509905" cy="624205"/>
            <wp:effectExtent l="0" t="0" r="4445" b="4445"/>
            <wp:docPr id="1" name="תמונה 1" descr="סמל המדינה"/>
            <wp:cNvGraphicFramePr/>
            <a:graphic xmlns:a="http://schemas.openxmlformats.org/drawingml/2006/main">
              <a:graphicData uri="http://schemas.openxmlformats.org/drawingml/2006/picture">
                <pic:pic xmlns:pic="http://schemas.openxmlformats.org/drawingml/2006/picture">
                  <pic:nvPicPr>
                    <pic:cNvPr id="1" name="תמונה 1" descr="סמל המדינה"/>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905" cy="624205"/>
                    </a:xfrm>
                    <a:prstGeom prst="rect">
                      <a:avLst/>
                    </a:prstGeom>
                    <a:noFill/>
                    <a:ln>
                      <a:noFill/>
                    </a:ln>
                  </pic:spPr>
                </pic:pic>
              </a:graphicData>
            </a:graphic>
          </wp:inline>
        </w:drawing>
      </w:r>
    </w:p>
    <w:p w14:paraId="5A082413" w14:textId="77777777" w:rsidR="007B6631" w:rsidRDefault="007B6631" w:rsidP="005F0271">
      <w:pPr>
        <w:rPr>
          <w:b/>
          <w:bCs/>
          <w:sz w:val="26"/>
          <w:szCs w:val="26"/>
          <w:rtl/>
        </w:rPr>
      </w:pPr>
      <w:r w:rsidRPr="00CB5068">
        <w:rPr>
          <w:b/>
          <w:bCs/>
          <w:sz w:val="26"/>
          <w:szCs w:val="26"/>
          <w:rtl/>
        </w:rPr>
        <w:t>תוכן עניינים</w:t>
      </w:r>
    </w:p>
    <w:p w14:paraId="343C8E4E" w14:textId="5293EA87" w:rsidR="00DA699B" w:rsidRDefault="00DA699B" w:rsidP="00DA699B">
      <w:pPr>
        <w:pStyle w:val="TOC1"/>
        <w:rPr>
          <w:rFonts w:asciiTheme="minorHAnsi" w:eastAsiaTheme="minorEastAsia" w:hAnsiTheme="minorHAnsi" w:cstheme="minorBidi"/>
          <w:bCs w:val="0"/>
          <w:noProof/>
          <w:sz w:val="22"/>
          <w:rtl/>
        </w:rPr>
      </w:pPr>
      <w:r>
        <w:rPr>
          <w:rtl/>
        </w:rPr>
        <w:fldChar w:fldCharType="begin"/>
      </w:r>
      <w:r>
        <w:rPr>
          <w:rtl/>
        </w:rPr>
        <w:instrText xml:space="preserve"> </w:instrText>
      </w:r>
      <w:r>
        <w:instrText>TOC</w:instrText>
      </w:r>
      <w:r>
        <w:rPr>
          <w:rtl/>
        </w:rPr>
        <w:instrText xml:space="preserve"> \</w:instrText>
      </w:r>
      <w:r>
        <w:instrText>o "1-9" \h \z \t "Table SideHeading,3,Table Head,2,Head HatzaotHok,1,Head DivreiHesber,2,Head HatzaotHok4Futer,1</w:instrText>
      </w:r>
      <w:r>
        <w:rPr>
          <w:rtl/>
        </w:rPr>
        <w:instrText xml:space="preserve">" </w:instrText>
      </w:r>
      <w:r>
        <w:rPr>
          <w:rtl/>
        </w:rPr>
        <w:fldChar w:fldCharType="separate"/>
      </w:r>
      <w:hyperlink w:anchor="_Toc70425104" w:history="1">
        <w:r w:rsidRPr="009D6F13">
          <w:rPr>
            <w:rStyle w:val="Hyperlink"/>
            <w:noProof/>
            <w:rtl/>
          </w:rPr>
          <w:t>טיוטת כללים</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Toc70425104 \h</w:instrText>
        </w:r>
        <w:r>
          <w:rPr>
            <w:noProof/>
            <w:webHidden/>
            <w:rtl/>
          </w:rPr>
          <w:instrText xml:space="preserve"> </w:instrText>
        </w:r>
        <w:r>
          <w:rPr>
            <w:noProof/>
            <w:webHidden/>
            <w:rtl/>
          </w:rPr>
        </w:r>
        <w:r>
          <w:rPr>
            <w:noProof/>
            <w:webHidden/>
            <w:rtl/>
          </w:rPr>
          <w:fldChar w:fldCharType="separate"/>
        </w:r>
        <w:r>
          <w:rPr>
            <w:noProof/>
            <w:webHidden/>
            <w:rtl/>
          </w:rPr>
          <w:t>2</w:t>
        </w:r>
        <w:r>
          <w:rPr>
            <w:noProof/>
            <w:webHidden/>
            <w:rtl/>
          </w:rPr>
          <w:fldChar w:fldCharType="end"/>
        </w:r>
      </w:hyperlink>
    </w:p>
    <w:p w14:paraId="122C25DF" w14:textId="6F49DB8E" w:rsidR="00DA699B" w:rsidRDefault="009E3547" w:rsidP="00DA699B">
      <w:pPr>
        <w:pStyle w:val="TOC4"/>
        <w:rPr>
          <w:rFonts w:cstheme="minorBidi"/>
          <w:rtl/>
        </w:rPr>
      </w:pPr>
      <w:hyperlink w:anchor="_Toc70425105" w:history="1">
        <w:r w:rsidR="00DA699B" w:rsidRPr="009D6F13">
          <w:rPr>
            <w:rStyle w:val="Hyperlink"/>
            <w:rtl/>
          </w:rPr>
          <w:t>א. שם הכללים המוצעים</w:t>
        </w:r>
        <w:r w:rsidR="00DA699B">
          <w:rPr>
            <w:webHidden/>
            <w:rtl/>
          </w:rPr>
          <w:tab/>
        </w:r>
        <w:r w:rsidR="00DA699B">
          <w:rPr>
            <w:webHidden/>
            <w:rtl/>
          </w:rPr>
          <w:fldChar w:fldCharType="begin"/>
        </w:r>
        <w:r w:rsidR="00DA699B">
          <w:rPr>
            <w:webHidden/>
            <w:rtl/>
          </w:rPr>
          <w:instrText xml:space="preserve"> </w:instrText>
        </w:r>
        <w:r w:rsidR="00DA699B">
          <w:rPr>
            <w:webHidden/>
          </w:rPr>
          <w:instrText>PAGEREF</w:instrText>
        </w:r>
        <w:r w:rsidR="00DA699B">
          <w:rPr>
            <w:webHidden/>
            <w:rtl/>
          </w:rPr>
          <w:instrText xml:space="preserve"> _</w:instrText>
        </w:r>
        <w:r w:rsidR="00DA699B">
          <w:rPr>
            <w:webHidden/>
          </w:rPr>
          <w:instrText>Toc70425105 \h</w:instrText>
        </w:r>
        <w:r w:rsidR="00DA699B">
          <w:rPr>
            <w:webHidden/>
            <w:rtl/>
          </w:rPr>
          <w:instrText xml:space="preserve"> </w:instrText>
        </w:r>
        <w:r w:rsidR="00DA699B">
          <w:rPr>
            <w:webHidden/>
            <w:rtl/>
          </w:rPr>
        </w:r>
        <w:r w:rsidR="00DA699B">
          <w:rPr>
            <w:webHidden/>
            <w:rtl/>
          </w:rPr>
          <w:fldChar w:fldCharType="separate"/>
        </w:r>
        <w:r w:rsidR="00DA699B">
          <w:rPr>
            <w:webHidden/>
            <w:rtl/>
          </w:rPr>
          <w:t>2</w:t>
        </w:r>
        <w:r w:rsidR="00DA699B">
          <w:rPr>
            <w:webHidden/>
            <w:rtl/>
          </w:rPr>
          <w:fldChar w:fldCharType="end"/>
        </w:r>
      </w:hyperlink>
    </w:p>
    <w:p w14:paraId="42B5A631" w14:textId="19EAC4E4" w:rsidR="00DA699B" w:rsidRDefault="009E3547" w:rsidP="00DA699B">
      <w:pPr>
        <w:pStyle w:val="TOC4"/>
        <w:rPr>
          <w:rFonts w:cstheme="minorBidi"/>
          <w:rtl/>
        </w:rPr>
      </w:pPr>
      <w:hyperlink w:anchor="_Toc70425106" w:history="1">
        <w:r w:rsidR="00DA699B" w:rsidRPr="009D6F13">
          <w:rPr>
            <w:rStyle w:val="Hyperlink"/>
            <w:rtl/>
          </w:rPr>
          <w:t>ב. מטרת הכללים המוצעים והצורך בהם</w:t>
        </w:r>
        <w:r w:rsidR="00DA699B">
          <w:rPr>
            <w:webHidden/>
            <w:rtl/>
          </w:rPr>
          <w:tab/>
        </w:r>
        <w:r w:rsidR="00DA699B">
          <w:rPr>
            <w:webHidden/>
            <w:rtl/>
          </w:rPr>
          <w:fldChar w:fldCharType="begin"/>
        </w:r>
        <w:r w:rsidR="00DA699B">
          <w:rPr>
            <w:webHidden/>
            <w:rtl/>
          </w:rPr>
          <w:instrText xml:space="preserve"> </w:instrText>
        </w:r>
        <w:r w:rsidR="00DA699B">
          <w:rPr>
            <w:webHidden/>
          </w:rPr>
          <w:instrText>PAGEREF</w:instrText>
        </w:r>
        <w:r w:rsidR="00DA699B">
          <w:rPr>
            <w:webHidden/>
            <w:rtl/>
          </w:rPr>
          <w:instrText xml:space="preserve"> _</w:instrText>
        </w:r>
        <w:r w:rsidR="00DA699B">
          <w:rPr>
            <w:webHidden/>
          </w:rPr>
          <w:instrText>Toc70425106 \h</w:instrText>
        </w:r>
        <w:r w:rsidR="00DA699B">
          <w:rPr>
            <w:webHidden/>
            <w:rtl/>
          </w:rPr>
          <w:instrText xml:space="preserve"> </w:instrText>
        </w:r>
        <w:r w:rsidR="00DA699B">
          <w:rPr>
            <w:webHidden/>
            <w:rtl/>
          </w:rPr>
        </w:r>
        <w:r w:rsidR="00DA699B">
          <w:rPr>
            <w:webHidden/>
            <w:rtl/>
          </w:rPr>
          <w:fldChar w:fldCharType="separate"/>
        </w:r>
        <w:r w:rsidR="00DA699B">
          <w:rPr>
            <w:webHidden/>
            <w:rtl/>
          </w:rPr>
          <w:t>2</w:t>
        </w:r>
        <w:r w:rsidR="00DA699B">
          <w:rPr>
            <w:webHidden/>
            <w:rtl/>
          </w:rPr>
          <w:fldChar w:fldCharType="end"/>
        </w:r>
      </w:hyperlink>
    </w:p>
    <w:p w14:paraId="4DB578E5" w14:textId="40CA86F3" w:rsidR="00DA699B" w:rsidRDefault="009E3547" w:rsidP="00DA699B">
      <w:pPr>
        <w:pStyle w:val="TOC4"/>
        <w:rPr>
          <w:rFonts w:cstheme="minorBidi"/>
          <w:rtl/>
        </w:rPr>
      </w:pPr>
      <w:hyperlink w:anchor="_Toc70425107" w:history="1">
        <w:r w:rsidR="00DA699B" w:rsidRPr="009D6F13">
          <w:rPr>
            <w:rStyle w:val="Hyperlink"/>
            <w:rtl/>
          </w:rPr>
          <w:t>ג. להלן נוסח טיוטת הכללים המוצעים:</w:t>
        </w:r>
        <w:r w:rsidR="00DA699B">
          <w:rPr>
            <w:webHidden/>
            <w:rtl/>
          </w:rPr>
          <w:tab/>
        </w:r>
        <w:r w:rsidR="00DA699B">
          <w:rPr>
            <w:webHidden/>
            <w:rtl/>
          </w:rPr>
          <w:fldChar w:fldCharType="begin"/>
        </w:r>
        <w:r w:rsidR="00DA699B">
          <w:rPr>
            <w:webHidden/>
            <w:rtl/>
          </w:rPr>
          <w:instrText xml:space="preserve"> </w:instrText>
        </w:r>
        <w:r w:rsidR="00DA699B">
          <w:rPr>
            <w:webHidden/>
          </w:rPr>
          <w:instrText>PAGEREF</w:instrText>
        </w:r>
        <w:r w:rsidR="00DA699B">
          <w:rPr>
            <w:webHidden/>
            <w:rtl/>
          </w:rPr>
          <w:instrText xml:space="preserve"> _</w:instrText>
        </w:r>
        <w:r w:rsidR="00DA699B">
          <w:rPr>
            <w:webHidden/>
          </w:rPr>
          <w:instrText>Toc70425107 \h</w:instrText>
        </w:r>
        <w:r w:rsidR="00DA699B">
          <w:rPr>
            <w:webHidden/>
            <w:rtl/>
          </w:rPr>
          <w:instrText xml:space="preserve"> </w:instrText>
        </w:r>
        <w:r w:rsidR="00DA699B">
          <w:rPr>
            <w:webHidden/>
            <w:rtl/>
          </w:rPr>
        </w:r>
        <w:r w:rsidR="00DA699B">
          <w:rPr>
            <w:webHidden/>
            <w:rtl/>
          </w:rPr>
          <w:fldChar w:fldCharType="separate"/>
        </w:r>
        <w:r w:rsidR="00DA699B">
          <w:rPr>
            <w:webHidden/>
            <w:rtl/>
          </w:rPr>
          <w:t>2</w:t>
        </w:r>
        <w:r w:rsidR="00DA699B">
          <w:rPr>
            <w:webHidden/>
            <w:rtl/>
          </w:rPr>
          <w:fldChar w:fldCharType="end"/>
        </w:r>
      </w:hyperlink>
    </w:p>
    <w:p w14:paraId="45EBD3E4" w14:textId="0E8F73E5" w:rsidR="00DA699B" w:rsidRDefault="009E3547" w:rsidP="00DA699B">
      <w:pPr>
        <w:pStyle w:val="TOC1"/>
        <w:rPr>
          <w:rFonts w:asciiTheme="minorHAnsi" w:eastAsiaTheme="minorEastAsia" w:hAnsiTheme="minorHAnsi" w:cstheme="minorBidi"/>
          <w:bCs w:val="0"/>
          <w:noProof/>
          <w:sz w:val="22"/>
          <w:rtl/>
        </w:rPr>
      </w:pPr>
      <w:hyperlink w:anchor="_Toc70425108" w:history="1">
        <w:r w:rsidR="00DA699B" w:rsidRPr="009D6F13">
          <w:rPr>
            <w:rStyle w:val="Hyperlink"/>
            <w:noProof/>
            <w:rtl/>
          </w:rPr>
          <w:t>טיוטת כללי ההגבלים העסקיים (פטור סוג להסכמי הפצה בלעדית) (הוראת שעה) (תיקון מס'...), התשפ"א-2021</w:t>
        </w:r>
        <w:r w:rsidR="00DA699B">
          <w:rPr>
            <w:noProof/>
            <w:webHidden/>
            <w:rtl/>
          </w:rPr>
          <w:tab/>
        </w:r>
        <w:r w:rsidR="00DA699B">
          <w:rPr>
            <w:noProof/>
            <w:webHidden/>
            <w:rtl/>
          </w:rPr>
          <w:fldChar w:fldCharType="begin"/>
        </w:r>
        <w:r w:rsidR="00DA699B">
          <w:rPr>
            <w:noProof/>
            <w:webHidden/>
            <w:rtl/>
          </w:rPr>
          <w:instrText xml:space="preserve"> </w:instrText>
        </w:r>
        <w:r w:rsidR="00DA699B">
          <w:rPr>
            <w:noProof/>
            <w:webHidden/>
          </w:rPr>
          <w:instrText>PAGEREF</w:instrText>
        </w:r>
        <w:r w:rsidR="00DA699B">
          <w:rPr>
            <w:noProof/>
            <w:webHidden/>
            <w:rtl/>
          </w:rPr>
          <w:instrText xml:space="preserve"> _</w:instrText>
        </w:r>
        <w:r w:rsidR="00DA699B">
          <w:rPr>
            <w:noProof/>
            <w:webHidden/>
          </w:rPr>
          <w:instrText>Toc70425108 \h</w:instrText>
        </w:r>
        <w:r w:rsidR="00DA699B">
          <w:rPr>
            <w:noProof/>
            <w:webHidden/>
            <w:rtl/>
          </w:rPr>
          <w:instrText xml:space="preserve"> </w:instrText>
        </w:r>
        <w:r w:rsidR="00DA699B">
          <w:rPr>
            <w:noProof/>
            <w:webHidden/>
            <w:rtl/>
          </w:rPr>
        </w:r>
        <w:r w:rsidR="00DA699B">
          <w:rPr>
            <w:noProof/>
            <w:webHidden/>
            <w:rtl/>
          </w:rPr>
          <w:fldChar w:fldCharType="separate"/>
        </w:r>
        <w:r w:rsidR="00DA699B">
          <w:rPr>
            <w:noProof/>
            <w:webHidden/>
            <w:rtl/>
          </w:rPr>
          <w:t>3</w:t>
        </w:r>
        <w:r w:rsidR="00DA699B">
          <w:rPr>
            <w:noProof/>
            <w:webHidden/>
            <w:rtl/>
          </w:rPr>
          <w:fldChar w:fldCharType="end"/>
        </w:r>
      </w:hyperlink>
    </w:p>
    <w:p w14:paraId="032C9E7C" w14:textId="6884E9A4" w:rsidR="00DA699B" w:rsidRDefault="009E3547" w:rsidP="00DA699B">
      <w:pPr>
        <w:pStyle w:val="TOC3"/>
        <w:rPr>
          <w:rFonts w:asciiTheme="minorHAnsi" w:eastAsiaTheme="minorEastAsia" w:hAnsiTheme="minorHAnsi" w:cstheme="minorBidi"/>
          <w:noProof/>
          <w:sz w:val="22"/>
          <w:rtl/>
        </w:rPr>
      </w:pPr>
      <w:hyperlink w:anchor="_Toc70425109" w:history="1">
        <w:r w:rsidR="00DA699B" w:rsidRPr="009D6F13">
          <w:rPr>
            <w:rStyle w:val="Hyperlink"/>
            <w:noProof/>
            <w:rtl/>
          </w:rPr>
          <w:t>תיקון השם</w:t>
        </w:r>
        <w:r w:rsidR="00DA699B">
          <w:rPr>
            <w:noProof/>
            <w:webHidden/>
            <w:rtl/>
          </w:rPr>
          <w:tab/>
        </w:r>
        <w:r w:rsidR="00DA699B">
          <w:rPr>
            <w:noProof/>
            <w:webHidden/>
            <w:rtl/>
          </w:rPr>
          <w:fldChar w:fldCharType="begin"/>
        </w:r>
        <w:r w:rsidR="00DA699B">
          <w:rPr>
            <w:noProof/>
            <w:webHidden/>
            <w:rtl/>
          </w:rPr>
          <w:instrText xml:space="preserve"> </w:instrText>
        </w:r>
        <w:r w:rsidR="00DA699B">
          <w:rPr>
            <w:noProof/>
            <w:webHidden/>
          </w:rPr>
          <w:instrText>PAGEREF</w:instrText>
        </w:r>
        <w:r w:rsidR="00DA699B">
          <w:rPr>
            <w:noProof/>
            <w:webHidden/>
            <w:rtl/>
          </w:rPr>
          <w:instrText xml:space="preserve"> _</w:instrText>
        </w:r>
        <w:r w:rsidR="00DA699B">
          <w:rPr>
            <w:noProof/>
            <w:webHidden/>
          </w:rPr>
          <w:instrText>Toc70425109 \h</w:instrText>
        </w:r>
        <w:r w:rsidR="00DA699B">
          <w:rPr>
            <w:noProof/>
            <w:webHidden/>
            <w:rtl/>
          </w:rPr>
          <w:instrText xml:space="preserve"> </w:instrText>
        </w:r>
        <w:r w:rsidR="00DA699B">
          <w:rPr>
            <w:noProof/>
            <w:webHidden/>
            <w:rtl/>
          </w:rPr>
        </w:r>
        <w:r w:rsidR="00DA699B">
          <w:rPr>
            <w:noProof/>
            <w:webHidden/>
            <w:rtl/>
          </w:rPr>
          <w:fldChar w:fldCharType="separate"/>
        </w:r>
        <w:r w:rsidR="00DA699B">
          <w:rPr>
            <w:noProof/>
            <w:webHidden/>
            <w:rtl/>
          </w:rPr>
          <w:t>3</w:t>
        </w:r>
        <w:r w:rsidR="00DA699B">
          <w:rPr>
            <w:noProof/>
            <w:webHidden/>
            <w:rtl/>
          </w:rPr>
          <w:fldChar w:fldCharType="end"/>
        </w:r>
      </w:hyperlink>
    </w:p>
    <w:p w14:paraId="61C8A78D" w14:textId="1B794E5B" w:rsidR="00DA699B" w:rsidRDefault="009E3547" w:rsidP="00DA699B">
      <w:pPr>
        <w:pStyle w:val="TOC3"/>
        <w:rPr>
          <w:rFonts w:asciiTheme="minorHAnsi" w:eastAsiaTheme="minorEastAsia" w:hAnsiTheme="minorHAnsi" w:cstheme="minorBidi"/>
          <w:noProof/>
          <w:sz w:val="22"/>
          <w:rtl/>
        </w:rPr>
      </w:pPr>
      <w:hyperlink w:anchor="_Toc70425110" w:history="1">
        <w:r w:rsidR="00DA699B" w:rsidRPr="009D6F13">
          <w:rPr>
            <w:rStyle w:val="Hyperlink"/>
            <w:noProof/>
            <w:rtl/>
          </w:rPr>
          <w:t>תיקון הפתיח</w:t>
        </w:r>
        <w:r w:rsidR="00DA699B">
          <w:rPr>
            <w:noProof/>
            <w:webHidden/>
            <w:rtl/>
          </w:rPr>
          <w:tab/>
        </w:r>
        <w:r w:rsidR="00DA699B">
          <w:rPr>
            <w:noProof/>
            <w:webHidden/>
            <w:rtl/>
          </w:rPr>
          <w:fldChar w:fldCharType="begin"/>
        </w:r>
        <w:r w:rsidR="00DA699B">
          <w:rPr>
            <w:noProof/>
            <w:webHidden/>
            <w:rtl/>
          </w:rPr>
          <w:instrText xml:space="preserve"> </w:instrText>
        </w:r>
        <w:r w:rsidR="00DA699B">
          <w:rPr>
            <w:noProof/>
            <w:webHidden/>
          </w:rPr>
          <w:instrText>PAGEREF</w:instrText>
        </w:r>
        <w:r w:rsidR="00DA699B">
          <w:rPr>
            <w:noProof/>
            <w:webHidden/>
            <w:rtl/>
          </w:rPr>
          <w:instrText xml:space="preserve"> _</w:instrText>
        </w:r>
        <w:r w:rsidR="00DA699B">
          <w:rPr>
            <w:noProof/>
            <w:webHidden/>
          </w:rPr>
          <w:instrText>Toc70425110 \h</w:instrText>
        </w:r>
        <w:r w:rsidR="00DA699B">
          <w:rPr>
            <w:noProof/>
            <w:webHidden/>
            <w:rtl/>
          </w:rPr>
          <w:instrText xml:space="preserve"> </w:instrText>
        </w:r>
        <w:r w:rsidR="00DA699B">
          <w:rPr>
            <w:noProof/>
            <w:webHidden/>
            <w:rtl/>
          </w:rPr>
        </w:r>
        <w:r w:rsidR="00DA699B">
          <w:rPr>
            <w:noProof/>
            <w:webHidden/>
            <w:rtl/>
          </w:rPr>
          <w:fldChar w:fldCharType="separate"/>
        </w:r>
        <w:r w:rsidR="00DA699B">
          <w:rPr>
            <w:noProof/>
            <w:webHidden/>
            <w:rtl/>
          </w:rPr>
          <w:t>3</w:t>
        </w:r>
        <w:r w:rsidR="00DA699B">
          <w:rPr>
            <w:noProof/>
            <w:webHidden/>
            <w:rtl/>
          </w:rPr>
          <w:fldChar w:fldCharType="end"/>
        </w:r>
      </w:hyperlink>
    </w:p>
    <w:p w14:paraId="69D0C861" w14:textId="363982E0" w:rsidR="00DA699B" w:rsidRDefault="009E3547" w:rsidP="00DA699B">
      <w:pPr>
        <w:pStyle w:val="TOC3"/>
        <w:rPr>
          <w:rFonts w:asciiTheme="minorHAnsi" w:eastAsiaTheme="minorEastAsia" w:hAnsiTheme="minorHAnsi" w:cstheme="minorBidi"/>
          <w:noProof/>
          <w:sz w:val="22"/>
          <w:rtl/>
        </w:rPr>
      </w:pPr>
      <w:hyperlink w:anchor="_Toc70425111" w:history="1">
        <w:r w:rsidR="00DA699B" w:rsidRPr="009D6F13">
          <w:rPr>
            <w:rStyle w:val="Hyperlink"/>
            <w:noProof/>
            <w:rtl/>
          </w:rPr>
          <w:t>תיקון סעיף 2</w:t>
        </w:r>
        <w:r w:rsidR="00DA699B">
          <w:rPr>
            <w:noProof/>
            <w:webHidden/>
            <w:rtl/>
          </w:rPr>
          <w:tab/>
        </w:r>
        <w:r w:rsidR="00DA699B">
          <w:rPr>
            <w:noProof/>
            <w:webHidden/>
            <w:rtl/>
          </w:rPr>
          <w:fldChar w:fldCharType="begin"/>
        </w:r>
        <w:r w:rsidR="00DA699B">
          <w:rPr>
            <w:noProof/>
            <w:webHidden/>
            <w:rtl/>
          </w:rPr>
          <w:instrText xml:space="preserve"> </w:instrText>
        </w:r>
        <w:r w:rsidR="00DA699B">
          <w:rPr>
            <w:noProof/>
            <w:webHidden/>
          </w:rPr>
          <w:instrText>PAGEREF</w:instrText>
        </w:r>
        <w:r w:rsidR="00DA699B">
          <w:rPr>
            <w:noProof/>
            <w:webHidden/>
            <w:rtl/>
          </w:rPr>
          <w:instrText xml:space="preserve"> _</w:instrText>
        </w:r>
        <w:r w:rsidR="00DA699B">
          <w:rPr>
            <w:noProof/>
            <w:webHidden/>
          </w:rPr>
          <w:instrText>Toc70425111 \h</w:instrText>
        </w:r>
        <w:r w:rsidR="00DA699B">
          <w:rPr>
            <w:noProof/>
            <w:webHidden/>
            <w:rtl/>
          </w:rPr>
          <w:instrText xml:space="preserve"> </w:instrText>
        </w:r>
        <w:r w:rsidR="00DA699B">
          <w:rPr>
            <w:noProof/>
            <w:webHidden/>
            <w:rtl/>
          </w:rPr>
        </w:r>
        <w:r w:rsidR="00DA699B">
          <w:rPr>
            <w:noProof/>
            <w:webHidden/>
            <w:rtl/>
          </w:rPr>
          <w:fldChar w:fldCharType="separate"/>
        </w:r>
        <w:r w:rsidR="00DA699B">
          <w:rPr>
            <w:noProof/>
            <w:webHidden/>
            <w:rtl/>
          </w:rPr>
          <w:t>3</w:t>
        </w:r>
        <w:r w:rsidR="00DA699B">
          <w:rPr>
            <w:noProof/>
            <w:webHidden/>
            <w:rtl/>
          </w:rPr>
          <w:fldChar w:fldCharType="end"/>
        </w:r>
      </w:hyperlink>
    </w:p>
    <w:p w14:paraId="09A42142" w14:textId="16F360E5" w:rsidR="00DA699B" w:rsidRDefault="009E3547" w:rsidP="00DA699B">
      <w:pPr>
        <w:pStyle w:val="TOC3"/>
        <w:rPr>
          <w:rFonts w:asciiTheme="minorHAnsi" w:eastAsiaTheme="minorEastAsia" w:hAnsiTheme="minorHAnsi" w:cstheme="minorBidi"/>
          <w:noProof/>
          <w:sz w:val="22"/>
          <w:rtl/>
        </w:rPr>
      </w:pPr>
      <w:hyperlink w:anchor="_Toc70425112" w:history="1">
        <w:r w:rsidR="00DA699B" w:rsidRPr="009D6F13">
          <w:rPr>
            <w:rStyle w:val="Hyperlink"/>
            <w:noProof/>
            <w:rtl/>
          </w:rPr>
          <w:t>תיקון סעיף 4א</w:t>
        </w:r>
        <w:r w:rsidR="00DA699B">
          <w:rPr>
            <w:noProof/>
            <w:webHidden/>
            <w:rtl/>
          </w:rPr>
          <w:tab/>
        </w:r>
        <w:r w:rsidR="00DA699B">
          <w:rPr>
            <w:noProof/>
            <w:webHidden/>
            <w:rtl/>
          </w:rPr>
          <w:fldChar w:fldCharType="begin"/>
        </w:r>
        <w:r w:rsidR="00DA699B">
          <w:rPr>
            <w:noProof/>
            <w:webHidden/>
            <w:rtl/>
          </w:rPr>
          <w:instrText xml:space="preserve"> </w:instrText>
        </w:r>
        <w:r w:rsidR="00DA699B">
          <w:rPr>
            <w:noProof/>
            <w:webHidden/>
          </w:rPr>
          <w:instrText>PAGEREF</w:instrText>
        </w:r>
        <w:r w:rsidR="00DA699B">
          <w:rPr>
            <w:noProof/>
            <w:webHidden/>
            <w:rtl/>
          </w:rPr>
          <w:instrText xml:space="preserve"> _</w:instrText>
        </w:r>
        <w:r w:rsidR="00DA699B">
          <w:rPr>
            <w:noProof/>
            <w:webHidden/>
          </w:rPr>
          <w:instrText>Toc70425112 \h</w:instrText>
        </w:r>
        <w:r w:rsidR="00DA699B">
          <w:rPr>
            <w:noProof/>
            <w:webHidden/>
            <w:rtl/>
          </w:rPr>
          <w:instrText xml:space="preserve"> </w:instrText>
        </w:r>
        <w:r w:rsidR="00DA699B">
          <w:rPr>
            <w:noProof/>
            <w:webHidden/>
            <w:rtl/>
          </w:rPr>
        </w:r>
        <w:r w:rsidR="00DA699B">
          <w:rPr>
            <w:noProof/>
            <w:webHidden/>
            <w:rtl/>
          </w:rPr>
          <w:fldChar w:fldCharType="separate"/>
        </w:r>
        <w:r w:rsidR="00DA699B">
          <w:rPr>
            <w:noProof/>
            <w:webHidden/>
            <w:rtl/>
          </w:rPr>
          <w:t>3</w:t>
        </w:r>
        <w:r w:rsidR="00DA699B">
          <w:rPr>
            <w:noProof/>
            <w:webHidden/>
            <w:rtl/>
          </w:rPr>
          <w:fldChar w:fldCharType="end"/>
        </w:r>
      </w:hyperlink>
    </w:p>
    <w:p w14:paraId="789CA9A7" w14:textId="74EA4187" w:rsidR="00DA699B" w:rsidRDefault="009E3547" w:rsidP="00DA699B">
      <w:pPr>
        <w:pStyle w:val="TOC3"/>
        <w:rPr>
          <w:rFonts w:asciiTheme="minorHAnsi" w:eastAsiaTheme="minorEastAsia" w:hAnsiTheme="minorHAnsi" w:cstheme="minorBidi"/>
          <w:noProof/>
          <w:sz w:val="22"/>
          <w:rtl/>
        </w:rPr>
      </w:pPr>
      <w:hyperlink w:anchor="_Toc70425113" w:history="1">
        <w:r w:rsidR="00DA699B" w:rsidRPr="009D6F13">
          <w:rPr>
            <w:rStyle w:val="Hyperlink"/>
            <w:noProof/>
            <w:rtl/>
          </w:rPr>
          <w:t>תוקף</w:t>
        </w:r>
        <w:r w:rsidR="00DA699B">
          <w:rPr>
            <w:noProof/>
            <w:webHidden/>
            <w:rtl/>
          </w:rPr>
          <w:tab/>
        </w:r>
        <w:r w:rsidR="00DA699B">
          <w:rPr>
            <w:noProof/>
            <w:webHidden/>
            <w:rtl/>
          </w:rPr>
          <w:fldChar w:fldCharType="begin"/>
        </w:r>
        <w:r w:rsidR="00DA699B">
          <w:rPr>
            <w:noProof/>
            <w:webHidden/>
            <w:rtl/>
          </w:rPr>
          <w:instrText xml:space="preserve"> </w:instrText>
        </w:r>
        <w:r w:rsidR="00DA699B">
          <w:rPr>
            <w:noProof/>
            <w:webHidden/>
          </w:rPr>
          <w:instrText>PAGEREF</w:instrText>
        </w:r>
        <w:r w:rsidR="00DA699B">
          <w:rPr>
            <w:noProof/>
            <w:webHidden/>
            <w:rtl/>
          </w:rPr>
          <w:instrText xml:space="preserve"> _</w:instrText>
        </w:r>
        <w:r w:rsidR="00DA699B">
          <w:rPr>
            <w:noProof/>
            <w:webHidden/>
          </w:rPr>
          <w:instrText>Toc70425113 \h</w:instrText>
        </w:r>
        <w:r w:rsidR="00DA699B">
          <w:rPr>
            <w:noProof/>
            <w:webHidden/>
            <w:rtl/>
          </w:rPr>
          <w:instrText xml:space="preserve"> </w:instrText>
        </w:r>
        <w:r w:rsidR="00DA699B">
          <w:rPr>
            <w:noProof/>
            <w:webHidden/>
            <w:rtl/>
          </w:rPr>
        </w:r>
        <w:r w:rsidR="00DA699B">
          <w:rPr>
            <w:noProof/>
            <w:webHidden/>
            <w:rtl/>
          </w:rPr>
          <w:fldChar w:fldCharType="separate"/>
        </w:r>
        <w:r w:rsidR="00DA699B">
          <w:rPr>
            <w:noProof/>
            <w:webHidden/>
            <w:rtl/>
          </w:rPr>
          <w:t>3</w:t>
        </w:r>
        <w:r w:rsidR="00DA699B">
          <w:rPr>
            <w:noProof/>
            <w:webHidden/>
            <w:rtl/>
          </w:rPr>
          <w:fldChar w:fldCharType="end"/>
        </w:r>
      </w:hyperlink>
    </w:p>
    <w:p w14:paraId="2D257337" w14:textId="7337810A" w:rsidR="00DA699B" w:rsidRDefault="009E3547" w:rsidP="00DA699B">
      <w:pPr>
        <w:pStyle w:val="TOC2"/>
        <w:rPr>
          <w:rFonts w:asciiTheme="minorHAnsi" w:eastAsiaTheme="minorEastAsia" w:hAnsiTheme="minorHAnsi" w:cstheme="minorBidi"/>
          <w:noProof/>
          <w:sz w:val="22"/>
          <w:rtl/>
        </w:rPr>
      </w:pPr>
      <w:hyperlink w:anchor="_Toc70425114" w:history="1">
        <w:r w:rsidR="00DA699B" w:rsidRPr="009D6F13">
          <w:rPr>
            <w:rStyle w:val="Hyperlink"/>
            <w:noProof/>
            <w:rtl/>
          </w:rPr>
          <w:t>דברי הסבר</w:t>
        </w:r>
        <w:r w:rsidR="00DA699B">
          <w:rPr>
            <w:noProof/>
            <w:webHidden/>
            <w:rtl/>
          </w:rPr>
          <w:tab/>
        </w:r>
        <w:r w:rsidR="00DA699B">
          <w:rPr>
            <w:noProof/>
            <w:webHidden/>
            <w:rtl/>
          </w:rPr>
          <w:fldChar w:fldCharType="begin"/>
        </w:r>
        <w:r w:rsidR="00DA699B">
          <w:rPr>
            <w:noProof/>
            <w:webHidden/>
            <w:rtl/>
          </w:rPr>
          <w:instrText xml:space="preserve"> </w:instrText>
        </w:r>
        <w:r w:rsidR="00DA699B">
          <w:rPr>
            <w:noProof/>
            <w:webHidden/>
          </w:rPr>
          <w:instrText>PAGEREF</w:instrText>
        </w:r>
        <w:r w:rsidR="00DA699B">
          <w:rPr>
            <w:noProof/>
            <w:webHidden/>
            <w:rtl/>
          </w:rPr>
          <w:instrText xml:space="preserve"> _</w:instrText>
        </w:r>
        <w:r w:rsidR="00DA699B">
          <w:rPr>
            <w:noProof/>
            <w:webHidden/>
          </w:rPr>
          <w:instrText>Toc70425114 \h</w:instrText>
        </w:r>
        <w:r w:rsidR="00DA699B">
          <w:rPr>
            <w:noProof/>
            <w:webHidden/>
            <w:rtl/>
          </w:rPr>
          <w:instrText xml:space="preserve"> </w:instrText>
        </w:r>
        <w:r w:rsidR="00DA699B">
          <w:rPr>
            <w:noProof/>
            <w:webHidden/>
            <w:rtl/>
          </w:rPr>
        </w:r>
        <w:r w:rsidR="00DA699B">
          <w:rPr>
            <w:noProof/>
            <w:webHidden/>
            <w:rtl/>
          </w:rPr>
          <w:fldChar w:fldCharType="separate"/>
        </w:r>
        <w:r w:rsidR="00DA699B">
          <w:rPr>
            <w:noProof/>
            <w:webHidden/>
            <w:rtl/>
          </w:rPr>
          <w:t>4</w:t>
        </w:r>
        <w:r w:rsidR="00DA699B">
          <w:rPr>
            <w:noProof/>
            <w:webHidden/>
            <w:rtl/>
          </w:rPr>
          <w:fldChar w:fldCharType="end"/>
        </w:r>
      </w:hyperlink>
    </w:p>
    <w:p w14:paraId="28F63FE0" w14:textId="64588D96" w:rsidR="007B6631" w:rsidRDefault="00DA699B" w:rsidP="00DA699B">
      <w:pPr>
        <w:rPr>
          <w:snapToGrid w:val="0"/>
          <w:rtl/>
        </w:rPr>
      </w:pPr>
      <w:r>
        <w:rPr>
          <w:rtl/>
        </w:rPr>
        <w:fldChar w:fldCharType="end"/>
      </w:r>
      <w:r w:rsidR="007B6631">
        <w:rPr>
          <w:rtl/>
        </w:rPr>
        <w:br w:type="page"/>
      </w:r>
    </w:p>
    <w:p w14:paraId="2C2149B0" w14:textId="77777777" w:rsidR="003F3369" w:rsidRDefault="003F3369" w:rsidP="003F3369">
      <w:pPr>
        <w:pStyle w:val="Heading1"/>
        <w:keepNext w:val="0"/>
        <w:keepLines w:val="0"/>
      </w:pPr>
      <w:bookmarkStart w:id="1" w:name="_Toc70357780"/>
      <w:bookmarkStart w:id="2" w:name="_Toc70425104"/>
      <w:r>
        <w:rPr>
          <w:rtl/>
        </w:rPr>
        <w:lastRenderedPageBreak/>
        <w:t>טיוטת כללים</w:t>
      </w:r>
      <w:bookmarkEnd w:id="1"/>
      <w:bookmarkEnd w:id="2"/>
    </w:p>
    <w:p w14:paraId="1414A12F" w14:textId="77777777" w:rsidR="003F3369" w:rsidRDefault="003F3369" w:rsidP="003F3369">
      <w:pPr>
        <w:rPr>
          <w:rtl/>
        </w:rPr>
      </w:pPr>
    </w:p>
    <w:p w14:paraId="76783D0C" w14:textId="77777777" w:rsidR="003F3369" w:rsidRDefault="003F3369" w:rsidP="003F3369">
      <w:pPr>
        <w:pStyle w:val="Heading4"/>
        <w:rPr>
          <w:rtl/>
        </w:rPr>
      </w:pPr>
      <w:bookmarkStart w:id="3" w:name="_Toc70357781"/>
      <w:bookmarkStart w:id="4" w:name="_Toc70425105"/>
      <w:r>
        <w:rPr>
          <w:rFonts w:hint="cs"/>
          <w:rtl/>
        </w:rPr>
        <w:t>שם הכללים המוצעים</w:t>
      </w:r>
      <w:bookmarkEnd w:id="3"/>
      <w:bookmarkEnd w:id="4"/>
    </w:p>
    <w:p w14:paraId="7DCADF4E" w14:textId="73C2410C" w:rsidR="003F3369" w:rsidRDefault="003F3369" w:rsidP="00FB17C1">
      <w:r>
        <w:rPr>
          <w:rFonts w:hint="cs"/>
          <w:rtl/>
        </w:rPr>
        <w:t>כללי התחרות הכלכלית (פטור סוג להסכמי הפצה בלעדית) (הוראת שעה) (תיקון מס'), התשפ"א-2021</w:t>
      </w:r>
    </w:p>
    <w:p w14:paraId="6AE5AD8B" w14:textId="77777777" w:rsidR="003F3369" w:rsidRDefault="003F3369" w:rsidP="003F3369">
      <w:pPr>
        <w:rPr>
          <w:rtl/>
        </w:rPr>
      </w:pPr>
    </w:p>
    <w:p w14:paraId="083F913B" w14:textId="77777777" w:rsidR="003F3369" w:rsidRDefault="003F3369" w:rsidP="003F3369">
      <w:pPr>
        <w:rPr>
          <w:rtl/>
        </w:rPr>
      </w:pPr>
    </w:p>
    <w:p w14:paraId="09B32EEC" w14:textId="77777777" w:rsidR="003F3369" w:rsidRDefault="003F3369" w:rsidP="003F3369">
      <w:pPr>
        <w:pStyle w:val="Heading4"/>
        <w:rPr>
          <w:rtl/>
        </w:rPr>
      </w:pPr>
      <w:bookmarkStart w:id="5" w:name="_Toc70357782"/>
      <w:bookmarkStart w:id="6" w:name="_Toc70425106"/>
      <w:r>
        <w:rPr>
          <w:rFonts w:hint="cs"/>
          <w:rtl/>
        </w:rPr>
        <w:t>מטרת הכללים המוצעים והצורך בהם</w:t>
      </w:r>
      <w:bookmarkEnd w:id="5"/>
      <w:bookmarkEnd w:id="6"/>
      <w:r>
        <w:rPr>
          <w:rFonts w:hint="cs"/>
          <w:rtl/>
        </w:rPr>
        <w:t xml:space="preserve"> </w:t>
      </w:r>
    </w:p>
    <w:p w14:paraId="6919E47E" w14:textId="61F78DF5" w:rsidR="003F3369" w:rsidRDefault="003F3369" w:rsidP="0018323E">
      <w:pPr>
        <w:rPr>
          <w:rtl/>
        </w:rPr>
      </w:pPr>
      <w:r>
        <w:rPr>
          <w:rFonts w:hint="cs"/>
          <w:rtl/>
        </w:rPr>
        <w:t>כללי ההגבלים העסקיים (פטור סוג להסכמי הפצה בלעדית) (הוראת שעה), תשס"א-2001 (להלן</w:t>
      </w:r>
      <w:r w:rsidR="005D4358">
        <w:rPr>
          <w:rFonts w:hint="cs"/>
          <w:rtl/>
        </w:rPr>
        <w:t xml:space="preserve"> </w:t>
      </w:r>
      <w:r w:rsidRPr="00E74CA1">
        <w:rPr>
          <w:rFonts w:hint="eastAsia"/>
          <w:b/>
          <w:bCs/>
          <w:rtl/>
        </w:rPr>
        <w:t>פטור</w:t>
      </w:r>
      <w:r w:rsidRPr="00E74CA1">
        <w:rPr>
          <w:b/>
          <w:bCs/>
          <w:rtl/>
        </w:rPr>
        <w:t xml:space="preserve"> </w:t>
      </w:r>
      <w:r w:rsidRPr="00E74CA1">
        <w:rPr>
          <w:rFonts w:hint="eastAsia"/>
          <w:b/>
          <w:bCs/>
          <w:rtl/>
        </w:rPr>
        <w:t>הסוג</w:t>
      </w:r>
      <w:r>
        <w:rPr>
          <w:rFonts w:hint="cs"/>
          <w:rtl/>
        </w:rPr>
        <w:t>) הותקנו לראשונה בשנת 2001 עם הוספת מנגנון פטורי הסוג לחוק התחרות הכלכלית</w:t>
      </w:r>
      <w:r w:rsidR="005D4358">
        <w:rPr>
          <w:rFonts w:hint="cs"/>
          <w:rtl/>
        </w:rPr>
        <w:t xml:space="preserve">, התשמ"ח-1988 </w:t>
      </w:r>
      <w:r w:rsidR="003856AC">
        <w:rPr>
          <w:rFonts w:hint="cs"/>
          <w:rtl/>
        </w:rPr>
        <w:t xml:space="preserve">(להלן </w:t>
      </w:r>
      <w:r w:rsidR="003856AC" w:rsidRPr="003856AC">
        <w:rPr>
          <w:rFonts w:hint="cs"/>
          <w:b/>
          <w:bCs/>
          <w:rtl/>
        </w:rPr>
        <w:t>החוק</w:t>
      </w:r>
      <w:r w:rsidR="003856AC">
        <w:rPr>
          <w:rFonts w:hint="cs"/>
          <w:rtl/>
        </w:rPr>
        <w:t xml:space="preserve">) </w:t>
      </w:r>
      <w:r w:rsidR="005D4358" w:rsidRPr="003856AC">
        <w:rPr>
          <w:rFonts w:hint="cs"/>
          <w:rtl/>
        </w:rPr>
        <w:t>והוארכו</w:t>
      </w:r>
      <w:r w:rsidR="005D4358">
        <w:rPr>
          <w:rFonts w:hint="cs"/>
          <w:rtl/>
        </w:rPr>
        <w:t xml:space="preserve"> מאז מספר פעמים</w:t>
      </w:r>
      <w:r>
        <w:rPr>
          <w:rFonts w:hint="cs"/>
          <w:rtl/>
        </w:rPr>
        <w:t xml:space="preserve">. פטור הסוג משתייך למשפחת ההסדרים האנכיים </w:t>
      </w:r>
      <w:r>
        <w:rPr>
          <w:rtl/>
        </w:rPr>
        <w:t>–</w:t>
      </w:r>
      <w:r>
        <w:rPr>
          <w:rFonts w:hint="cs"/>
          <w:rtl/>
        </w:rPr>
        <w:t xml:space="preserve"> הסדרים בין גורמים הנמצאים </w:t>
      </w:r>
      <w:r w:rsidR="005D4358">
        <w:rPr>
          <w:rFonts w:hint="cs"/>
          <w:rtl/>
        </w:rPr>
        <w:t>בחוליות שונות</w:t>
      </w:r>
      <w:r>
        <w:rPr>
          <w:rFonts w:hint="cs"/>
          <w:rtl/>
        </w:rPr>
        <w:t xml:space="preserve"> של שרשרת </w:t>
      </w:r>
      <w:r w:rsidR="005D4358">
        <w:rPr>
          <w:rFonts w:hint="cs"/>
          <w:rtl/>
        </w:rPr>
        <w:t>הערך</w:t>
      </w:r>
      <w:r>
        <w:rPr>
          <w:rFonts w:hint="cs"/>
          <w:rtl/>
        </w:rPr>
        <w:t>. מקובל להבחין הבחנה יסודית בין הסדרים אופקיים שבין מתחרים לבין הסדרים אנכיים. הסדרים אופקיים מעצם טיבם מעוררים חששות תחרותיים</w:t>
      </w:r>
      <w:r w:rsidR="005D4358">
        <w:rPr>
          <w:rFonts w:hint="cs"/>
          <w:rtl/>
        </w:rPr>
        <w:t xml:space="preserve"> מוגברים</w:t>
      </w:r>
      <w:r>
        <w:rPr>
          <w:rFonts w:hint="cs"/>
          <w:rtl/>
        </w:rPr>
        <w:t xml:space="preserve">. </w:t>
      </w:r>
      <w:r w:rsidR="00EB378A">
        <w:rPr>
          <w:rFonts w:hint="cs"/>
          <w:rtl/>
        </w:rPr>
        <w:t>לעומת זאת,</w:t>
      </w:r>
      <w:r>
        <w:rPr>
          <w:rFonts w:hint="cs"/>
          <w:rtl/>
        </w:rPr>
        <w:t xml:space="preserve"> </w:t>
      </w:r>
      <w:r w:rsidR="005D4358">
        <w:rPr>
          <w:rFonts w:hint="cs"/>
          <w:rtl/>
        </w:rPr>
        <w:t>ל</w:t>
      </w:r>
      <w:r>
        <w:rPr>
          <w:rFonts w:hint="cs"/>
          <w:rtl/>
        </w:rPr>
        <w:t xml:space="preserve">חלק גדול מההסדרים האנכיים, עשויות </w:t>
      </w:r>
      <w:r w:rsidR="005D4358">
        <w:rPr>
          <w:rFonts w:hint="cs"/>
          <w:rtl/>
        </w:rPr>
        <w:t xml:space="preserve">לעמוד </w:t>
      </w:r>
      <w:r>
        <w:rPr>
          <w:rFonts w:hint="cs"/>
          <w:rtl/>
        </w:rPr>
        <w:t>הצדקות עסקיות לגיטימיות בצד השפעה מועטה, אם בכלל, על התחרות. פטור הסוג עוסק בהסכם להפצה בלעדית, הסכם בין ספק ומפיץ במסגרתו מתחייב הספק למכור טובין מסוג מסוים רק למפיץ אחד</w:t>
      </w:r>
      <w:r w:rsidRPr="009A2549">
        <w:rPr>
          <w:rFonts w:hint="cs"/>
          <w:rtl/>
        </w:rPr>
        <w:t xml:space="preserve">. </w:t>
      </w:r>
      <w:r>
        <w:rPr>
          <w:rFonts w:hint="cs"/>
          <w:rtl/>
        </w:rPr>
        <w:t xml:space="preserve">הסדרים מסוג כזה </w:t>
      </w:r>
      <w:r w:rsidR="0018323E">
        <w:rPr>
          <w:rFonts w:hint="cs"/>
          <w:rtl/>
        </w:rPr>
        <w:t xml:space="preserve">עלולים להעלות </w:t>
      </w:r>
      <w:r>
        <w:rPr>
          <w:rFonts w:hint="cs"/>
          <w:rtl/>
        </w:rPr>
        <w:t>מספר חששות תחרותיים</w:t>
      </w:r>
      <w:r w:rsidR="003B58B9">
        <w:rPr>
          <w:rFonts w:hint="cs"/>
          <w:rtl/>
        </w:rPr>
        <w:t>, כך למשל</w:t>
      </w:r>
      <w:r>
        <w:rPr>
          <w:rFonts w:hint="cs"/>
          <w:rtl/>
        </w:rPr>
        <w:t>: פגיעה בתחרות התוך מותגית</w:t>
      </w:r>
      <w:r>
        <w:rPr>
          <w:rStyle w:val="FootnoteReference"/>
          <w:rtl/>
        </w:rPr>
        <w:footnoteReference w:id="1"/>
      </w:r>
      <w:r>
        <w:t>;</w:t>
      </w:r>
      <w:r>
        <w:rPr>
          <w:rFonts w:hint="cs"/>
          <w:rtl/>
        </w:rPr>
        <w:t xml:space="preserve"> </w:t>
      </w:r>
      <w:r w:rsidR="0018323E">
        <w:rPr>
          <w:rFonts w:hint="cs"/>
          <w:rtl/>
        </w:rPr>
        <w:t xml:space="preserve">צינון </w:t>
      </w:r>
      <w:r>
        <w:rPr>
          <w:rFonts w:hint="cs"/>
          <w:rtl/>
        </w:rPr>
        <w:t xml:space="preserve">התחרות </w:t>
      </w:r>
      <w:r w:rsidR="003B58B9">
        <w:rPr>
          <w:rFonts w:hint="cs"/>
          <w:rtl/>
        </w:rPr>
        <w:t xml:space="preserve">או הקלה על </w:t>
      </w:r>
      <w:r>
        <w:rPr>
          <w:rFonts w:hint="cs"/>
          <w:rtl/>
        </w:rPr>
        <w:t>תיאום הן במקטע המפיצים והן במקטע הספקים</w:t>
      </w:r>
      <w:r>
        <w:t>;</w:t>
      </w:r>
      <w:r>
        <w:rPr>
          <w:rFonts w:hint="cs"/>
          <w:rtl/>
        </w:rPr>
        <w:t xml:space="preserve"> דחיקת מפיצים </w:t>
      </w:r>
      <w:r w:rsidR="003B58B9">
        <w:rPr>
          <w:rFonts w:hint="cs"/>
          <w:rtl/>
        </w:rPr>
        <w:t>מהשוק ועוד</w:t>
      </w:r>
      <w:r>
        <w:rPr>
          <w:rFonts w:hint="cs"/>
          <w:rtl/>
        </w:rPr>
        <w:t xml:space="preserve">. לצורך הפגת החשש, תחולת פטור הסוג מותנית בעמידה ברשימת </w:t>
      </w:r>
      <w:r w:rsidR="003B58B9">
        <w:rPr>
          <w:rFonts w:hint="cs"/>
          <w:rtl/>
        </w:rPr>
        <w:t>תנאים</w:t>
      </w:r>
      <w:r>
        <w:rPr>
          <w:rFonts w:hint="cs"/>
          <w:rtl/>
        </w:rPr>
        <w:t xml:space="preserve">, </w:t>
      </w:r>
      <w:r w:rsidR="003B58B9">
        <w:rPr>
          <w:rFonts w:hint="cs"/>
          <w:rtl/>
        </w:rPr>
        <w:t>המקיימים את</w:t>
      </w:r>
      <w:r>
        <w:rPr>
          <w:rFonts w:hint="cs"/>
          <w:rtl/>
        </w:rPr>
        <w:t xml:space="preserve"> דרישות סעיף 15א(א) לחוק, </w:t>
      </w:r>
      <w:r w:rsidR="003B58B9">
        <w:rPr>
          <w:rFonts w:hint="cs"/>
          <w:rtl/>
        </w:rPr>
        <w:t xml:space="preserve">ובהם </w:t>
      </w:r>
      <w:r>
        <w:rPr>
          <w:rFonts w:hint="cs"/>
          <w:rtl/>
        </w:rPr>
        <w:t xml:space="preserve">קביעת נתחי שוק מרביים </w:t>
      </w:r>
      <w:r w:rsidR="003856AC">
        <w:rPr>
          <w:rFonts w:hint="cs"/>
          <w:rtl/>
        </w:rPr>
        <w:t xml:space="preserve">של המפיץ </w:t>
      </w:r>
      <w:r>
        <w:rPr>
          <w:rFonts w:hint="cs"/>
          <w:rtl/>
        </w:rPr>
        <w:t xml:space="preserve">לתחולת פטור </w:t>
      </w:r>
      <w:r>
        <w:rPr>
          <w:rFonts w:hint="cs"/>
          <w:rtl/>
        </w:rPr>
        <w:lastRenderedPageBreak/>
        <w:t>הסוג</w:t>
      </w:r>
      <w:r w:rsidR="003B58B9">
        <w:rPr>
          <w:rFonts w:hint="cs"/>
          <w:rtl/>
        </w:rPr>
        <w:t xml:space="preserve">, </w:t>
      </w:r>
      <w:r>
        <w:rPr>
          <w:rFonts w:hint="cs"/>
          <w:rtl/>
        </w:rPr>
        <w:t xml:space="preserve">היעדר תחולה </w:t>
      </w:r>
      <w:r w:rsidR="003B58B9">
        <w:rPr>
          <w:rFonts w:hint="cs"/>
          <w:rtl/>
        </w:rPr>
        <w:t xml:space="preserve">של פטור הסוג </w:t>
      </w:r>
      <w:r>
        <w:rPr>
          <w:rFonts w:hint="cs"/>
          <w:rtl/>
        </w:rPr>
        <w:t>על בעל מונופולין</w:t>
      </w:r>
      <w:r w:rsidR="003856AC">
        <w:rPr>
          <w:rFonts w:hint="cs"/>
          <w:rtl/>
        </w:rPr>
        <w:t xml:space="preserve"> וכללים הנוגעים לתוכן הסכם ההפצה שבין הספק והמפיץ</w:t>
      </w:r>
      <w:r>
        <w:rPr>
          <w:rFonts w:hint="cs"/>
          <w:rtl/>
        </w:rPr>
        <w:t xml:space="preserve">.  </w:t>
      </w:r>
    </w:p>
    <w:p w14:paraId="19381C81" w14:textId="14072F5F" w:rsidR="009133EB" w:rsidRDefault="009133EB" w:rsidP="009133EB">
      <w:r w:rsidRPr="00D2504D">
        <w:rPr>
          <w:rtl/>
        </w:rPr>
        <w:t xml:space="preserve">לצד פטור הסוג חלים כללי ההגבלים העסקיים (פטור הסוג להסדרים שאינם אופקיים ואין בהם כבילות מחיר מסוימות) (הוראת שעה), התשע"ג-2013 (להלן פטור הסוג האנכי) שקובעים שהסדרים הכלולים במסגרתם יהיו פטורים אם הם עומדים בבחינה מהותית של השפעת ההסדר על התחרות ובבחינת השאלה האם עיקרו של ההסדר הוא בפגיעה בתחרות. פטור הסוג האנכי עשוי לחול גם על הסכמי </w:t>
      </w:r>
      <w:r>
        <w:rPr>
          <w:rFonts w:hint="cs"/>
          <w:rtl/>
        </w:rPr>
        <w:t>הפצה בלעדית</w:t>
      </w:r>
      <w:r w:rsidRPr="00D2504D">
        <w:rPr>
          <w:rtl/>
        </w:rPr>
        <w:t xml:space="preserve"> שאינם עומדים בתנאים הקבועים בפטור הסוג</w:t>
      </w:r>
      <w:r>
        <w:rPr>
          <w:rFonts w:hint="cs"/>
          <w:rtl/>
        </w:rPr>
        <w:t xml:space="preserve">. </w:t>
      </w:r>
    </w:p>
    <w:p w14:paraId="215FB3E1" w14:textId="1B3B7A31" w:rsidR="003F3369" w:rsidRPr="00A21CC4" w:rsidRDefault="003F3369" w:rsidP="003856AC">
      <w:pPr>
        <w:rPr>
          <w:rtl/>
        </w:rPr>
      </w:pPr>
      <w:r>
        <w:rPr>
          <w:rFonts w:hint="cs"/>
          <w:rtl/>
        </w:rPr>
        <w:t xml:space="preserve">במסגרת התיקון מוצע לחדש </w:t>
      </w:r>
      <w:r w:rsidRPr="009A2549">
        <w:rPr>
          <w:rtl/>
        </w:rPr>
        <w:t>את פטור הסוג לתקופה של 5 שנים</w:t>
      </w:r>
      <w:r>
        <w:rPr>
          <w:rFonts w:hint="cs"/>
          <w:rtl/>
        </w:rPr>
        <w:t xml:space="preserve"> נוספות</w:t>
      </w:r>
      <w:r w:rsidRPr="009A2549">
        <w:rPr>
          <w:rtl/>
        </w:rPr>
        <w:t>. כן מוצע להתאים את נוסח הוראות פטור הסוג לתיקון מס' 21 לחוק במסגרתו שונה, בין היתר, שם החוק ל</w:t>
      </w:r>
      <w:r w:rsidR="004032EA">
        <w:rPr>
          <w:rFonts w:hint="cs"/>
          <w:rtl/>
        </w:rPr>
        <w:t>"</w:t>
      </w:r>
      <w:r w:rsidRPr="009A2549">
        <w:rPr>
          <w:rtl/>
        </w:rPr>
        <w:t>חוק התחרות הכלכלית</w:t>
      </w:r>
      <w:r w:rsidR="004032EA">
        <w:rPr>
          <w:rFonts w:hint="cs"/>
          <w:rtl/>
        </w:rPr>
        <w:t>"</w:t>
      </w:r>
      <w:r w:rsidR="003856AC">
        <w:rPr>
          <w:rFonts w:hint="cs"/>
          <w:rtl/>
        </w:rPr>
        <w:t xml:space="preserve"> ושמו של בית הדין ל</w:t>
      </w:r>
      <w:r w:rsidR="004032EA">
        <w:rPr>
          <w:rFonts w:hint="cs"/>
          <w:rtl/>
        </w:rPr>
        <w:t>"</w:t>
      </w:r>
      <w:r w:rsidR="003856AC">
        <w:rPr>
          <w:rFonts w:hint="cs"/>
          <w:rtl/>
        </w:rPr>
        <w:t>בין הדין לתחרות</w:t>
      </w:r>
      <w:r w:rsidR="004032EA">
        <w:rPr>
          <w:rFonts w:hint="cs"/>
          <w:rtl/>
        </w:rPr>
        <w:t>"</w:t>
      </w:r>
      <w:r>
        <w:rPr>
          <w:rFonts w:hint="cs"/>
          <w:rtl/>
        </w:rPr>
        <w:t>.</w:t>
      </w:r>
    </w:p>
    <w:p w14:paraId="2EC47704" w14:textId="77777777" w:rsidR="003F3369" w:rsidRPr="00696F46" w:rsidRDefault="003F3369" w:rsidP="003F3369"/>
    <w:p w14:paraId="42169B56" w14:textId="677D531E" w:rsidR="003F3369" w:rsidRDefault="003F3369" w:rsidP="003F3369">
      <w:pPr>
        <w:pStyle w:val="Heading4"/>
        <w:rPr>
          <w:rtl/>
        </w:rPr>
      </w:pPr>
      <w:bookmarkStart w:id="7" w:name="_Toc70357783"/>
      <w:bookmarkStart w:id="8" w:name="_Toc70425107"/>
      <w:r>
        <w:rPr>
          <w:rFonts w:hint="cs"/>
          <w:rtl/>
        </w:rPr>
        <w:t>להלן נוסח טיוטת הכללים המוצעים:</w:t>
      </w:r>
      <w:bookmarkEnd w:id="7"/>
      <w:bookmarkEnd w:id="8"/>
      <w:r>
        <w:rPr>
          <w:rFonts w:hint="cs"/>
          <w:rtl/>
        </w:rPr>
        <w:t xml:space="preserve"> </w:t>
      </w:r>
    </w:p>
    <w:p w14:paraId="4DEAA32E" w14:textId="3D82EA29" w:rsidR="00AE6806" w:rsidRDefault="00AE6806" w:rsidP="00AE6806">
      <w:pPr>
        <w:rPr>
          <w:rtl/>
        </w:rPr>
      </w:pPr>
    </w:p>
    <w:p w14:paraId="625E078D" w14:textId="4C549233" w:rsidR="00AE6806" w:rsidRDefault="00AE6806" w:rsidP="00AE6806">
      <w:pPr>
        <w:rPr>
          <w:rtl/>
        </w:rPr>
      </w:pPr>
    </w:p>
    <w:p w14:paraId="63799088" w14:textId="77777777" w:rsidR="00AE6806" w:rsidRPr="00AE6806" w:rsidRDefault="00AE6806" w:rsidP="00AE6806"/>
    <w:p w14:paraId="2A698F89" w14:textId="7C3F0E9A" w:rsidR="00EA3844" w:rsidRPr="006C236F" w:rsidRDefault="00EA3844" w:rsidP="00EA3844">
      <w:pPr>
        <w:pStyle w:val="HeadHatzaotHok"/>
      </w:pPr>
      <w:bookmarkStart w:id="9" w:name="_Toc70425108"/>
      <w:r>
        <w:rPr>
          <w:rtl/>
        </w:rPr>
        <w:t xml:space="preserve">טיוטת </w:t>
      </w:r>
      <w:r w:rsidRPr="00CC4B65">
        <w:rPr>
          <w:rtl/>
        </w:rPr>
        <w:t xml:space="preserve">כללי </w:t>
      </w:r>
      <w:r w:rsidRPr="00CC4B65">
        <w:rPr>
          <w:rFonts w:hint="cs"/>
          <w:rtl/>
        </w:rPr>
        <w:t>ההגבלים העסקיים</w:t>
      </w:r>
      <w:r>
        <w:rPr>
          <w:rFonts w:hint="cs"/>
          <w:rtl/>
        </w:rPr>
        <w:t xml:space="preserve"> (</w:t>
      </w:r>
      <w:r w:rsidRPr="006C236F">
        <w:rPr>
          <w:rFonts w:hint="cs"/>
          <w:rtl/>
        </w:rPr>
        <w:t xml:space="preserve">פטור סוג להסכמי </w:t>
      </w:r>
      <w:r>
        <w:rPr>
          <w:rFonts w:hint="cs"/>
          <w:rtl/>
        </w:rPr>
        <w:t>הפצה בלעדית) (הוראת שעה) (תיקון מס'...</w:t>
      </w:r>
      <w:r w:rsidRPr="006C236F">
        <w:rPr>
          <w:rFonts w:hint="cs"/>
          <w:rtl/>
        </w:rPr>
        <w:t>), התשפ"א-2021</w:t>
      </w:r>
      <w:bookmarkEnd w:id="9"/>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EA3844" w14:paraId="068339A3" w14:textId="77777777" w:rsidTr="00597B03">
        <w:trPr>
          <w:cantSplit/>
          <w:trHeight w:val="60"/>
        </w:trPr>
        <w:tc>
          <w:tcPr>
            <w:tcW w:w="1871" w:type="dxa"/>
          </w:tcPr>
          <w:p w14:paraId="2EB433B7" w14:textId="77777777" w:rsidR="00EA3844" w:rsidRPr="006C236F" w:rsidRDefault="00EA3844" w:rsidP="00597B03">
            <w:pPr>
              <w:pStyle w:val="TableSideHeading"/>
              <w:rPr>
                <w:rtl/>
              </w:rPr>
            </w:pPr>
          </w:p>
        </w:tc>
        <w:tc>
          <w:tcPr>
            <w:tcW w:w="624" w:type="dxa"/>
          </w:tcPr>
          <w:p w14:paraId="5230CF1E" w14:textId="77777777" w:rsidR="00EA3844" w:rsidRDefault="00EA3844" w:rsidP="00597B03">
            <w:pPr>
              <w:pStyle w:val="TableText"/>
            </w:pPr>
          </w:p>
        </w:tc>
        <w:tc>
          <w:tcPr>
            <w:tcW w:w="7146" w:type="dxa"/>
            <w:hideMark/>
          </w:tcPr>
          <w:p w14:paraId="3586915C" w14:textId="77777777" w:rsidR="00EA3844" w:rsidRDefault="00EA3844" w:rsidP="00597B03">
            <w:pPr>
              <w:pStyle w:val="TableBlock"/>
            </w:pPr>
            <w:r>
              <w:rPr>
                <w:rtl/>
              </w:rPr>
              <w:t>בתוקף סמכותי לפי סעיף</w:t>
            </w:r>
            <w:r>
              <w:rPr>
                <w:rFonts w:hint="cs"/>
                <w:rtl/>
              </w:rPr>
              <w:t xml:space="preserve"> 15א לחוק התחרות הכלכלית, התשמ"ח-1988</w:t>
            </w:r>
            <w:r>
              <w:rPr>
                <w:rStyle w:val="FootnoteReference"/>
                <w:rtl/>
              </w:rPr>
              <w:footnoteReference w:id="2"/>
            </w:r>
            <w:r>
              <w:rPr>
                <w:rFonts w:hint="cs"/>
                <w:rtl/>
              </w:rPr>
              <w:t>, ובאישור הוועדה לפטורים ולמיזוגים, אני מתקינה כללי פטור סוג אלה</w:t>
            </w:r>
            <w:r>
              <w:rPr>
                <w:rtl/>
              </w:rPr>
              <w:t>:</w:t>
            </w:r>
          </w:p>
        </w:tc>
      </w:tr>
      <w:tr w:rsidR="003F3369" w14:paraId="1EE3EEA6" w14:textId="77777777" w:rsidTr="00E40771">
        <w:trPr>
          <w:cantSplit/>
          <w:trHeight w:val="60"/>
        </w:trPr>
        <w:tc>
          <w:tcPr>
            <w:tcW w:w="1871" w:type="dxa"/>
          </w:tcPr>
          <w:p w14:paraId="785205A2" w14:textId="77777777" w:rsidR="003F3369" w:rsidRDefault="003F3369" w:rsidP="00E40771">
            <w:pPr>
              <w:pStyle w:val="TableSideHeading"/>
            </w:pPr>
            <w:bookmarkStart w:id="10" w:name="_Toc70357784"/>
            <w:bookmarkStart w:id="11" w:name="_Toc70425109"/>
            <w:r>
              <w:rPr>
                <w:rFonts w:hint="cs"/>
                <w:rtl/>
              </w:rPr>
              <w:lastRenderedPageBreak/>
              <w:t>תיקון השם</w:t>
            </w:r>
            <w:bookmarkEnd w:id="10"/>
            <w:bookmarkEnd w:id="11"/>
          </w:p>
        </w:tc>
        <w:tc>
          <w:tcPr>
            <w:tcW w:w="624" w:type="dxa"/>
          </w:tcPr>
          <w:p w14:paraId="7DAF1E6B" w14:textId="77777777" w:rsidR="003F3369" w:rsidRDefault="003F3369" w:rsidP="00E40771">
            <w:pPr>
              <w:pStyle w:val="TableText"/>
              <w:numPr>
                <w:ilvl w:val="0"/>
                <w:numId w:val="2"/>
              </w:numPr>
            </w:pPr>
          </w:p>
        </w:tc>
        <w:tc>
          <w:tcPr>
            <w:tcW w:w="7146" w:type="dxa"/>
          </w:tcPr>
          <w:p w14:paraId="422EF7C4" w14:textId="216BDB79" w:rsidR="003F3369" w:rsidRDefault="00EA3844" w:rsidP="003F3369">
            <w:pPr>
              <w:pStyle w:val="TableBlock"/>
            </w:pPr>
            <w:r>
              <w:rPr>
                <w:rFonts w:hint="cs"/>
                <w:rtl/>
              </w:rPr>
              <w:t>ב</w:t>
            </w:r>
            <w:r w:rsidR="003F3369">
              <w:rPr>
                <w:rFonts w:hint="cs"/>
                <w:rtl/>
              </w:rPr>
              <w:t>כללי ההגבלים העסקיים (פטור סוג להסכמי הפצה בלעדית) (הוראת שעה), תשס"א-2001</w:t>
            </w:r>
            <w:r w:rsidR="00021F08">
              <w:rPr>
                <w:rStyle w:val="FootnoteReference"/>
                <w:rtl/>
              </w:rPr>
              <w:footnoteReference w:id="3"/>
            </w:r>
            <w:r w:rsidR="003F3369">
              <w:rPr>
                <w:rFonts w:hint="cs"/>
                <w:rtl/>
              </w:rPr>
              <w:t xml:space="preserve"> (להלן </w:t>
            </w:r>
            <w:r w:rsidR="003F3369">
              <w:rPr>
                <w:rtl/>
              </w:rPr>
              <w:t>–</w:t>
            </w:r>
            <w:r w:rsidR="003F3369">
              <w:rPr>
                <w:rFonts w:hint="cs"/>
                <w:rtl/>
              </w:rPr>
              <w:t xml:space="preserve"> הכללים העיקריים) במקום שם הכללים העיקריים יבוא: "כללי התחרות הכלכלית </w:t>
            </w:r>
            <w:r w:rsidR="003F3369" w:rsidRPr="00ED16FA">
              <w:rPr>
                <w:rFonts w:hint="cs"/>
                <w:rtl/>
              </w:rPr>
              <w:t xml:space="preserve">(פטור סוג </w:t>
            </w:r>
            <w:r w:rsidR="003F3369">
              <w:rPr>
                <w:rFonts w:hint="cs"/>
                <w:rtl/>
              </w:rPr>
              <w:t>להסכמי הפצה בלעדית</w:t>
            </w:r>
            <w:r w:rsidR="00285BB9">
              <w:rPr>
                <w:rFonts w:hint="cs"/>
                <w:rtl/>
              </w:rPr>
              <w:t>)</w:t>
            </w:r>
            <w:r w:rsidR="003F3369">
              <w:rPr>
                <w:rFonts w:hint="cs"/>
                <w:rtl/>
              </w:rPr>
              <w:t xml:space="preserve"> </w:t>
            </w:r>
            <w:r w:rsidR="003F3369" w:rsidRPr="00ED16FA">
              <w:rPr>
                <w:rFonts w:hint="cs"/>
                <w:rtl/>
              </w:rPr>
              <w:t xml:space="preserve">(הוראת שעה), </w:t>
            </w:r>
            <w:r w:rsidR="003F3369" w:rsidRPr="00ED16FA">
              <w:rPr>
                <w:rtl/>
              </w:rPr>
              <w:t>תשס"א</w:t>
            </w:r>
            <w:r w:rsidR="003F3369" w:rsidRPr="00ED16FA">
              <w:rPr>
                <w:rFonts w:hint="cs"/>
                <w:rtl/>
              </w:rPr>
              <w:t>-</w:t>
            </w:r>
            <w:r w:rsidR="003F3369" w:rsidRPr="00ED16FA">
              <w:rPr>
                <w:rtl/>
              </w:rPr>
              <w:t>2001</w:t>
            </w:r>
            <w:r w:rsidR="003F3369">
              <w:rPr>
                <w:rFonts w:hint="cs"/>
                <w:rtl/>
              </w:rPr>
              <w:t xml:space="preserve">". </w:t>
            </w:r>
          </w:p>
        </w:tc>
      </w:tr>
      <w:tr w:rsidR="003F3369" w14:paraId="4142661C" w14:textId="77777777" w:rsidTr="00E40771">
        <w:trPr>
          <w:cantSplit/>
          <w:trHeight w:val="60"/>
        </w:trPr>
        <w:tc>
          <w:tcPr>
            <w:tcW w:w="1871" w:type="dxa"/>
          </w:tcPr>
          <w:p w14:paraId="294724FB" w14:textId="77777777" w:rsidR="003F3369" w:rsidRDefault="003F3369" w:rsidP="00E40771">
            <w:pPr>
              <w:pStyle w:val="TableSideHeading"/>
              <w:keepLines w:val="0"/>
            </w:pPr>
            <w:bookmarkStart w:id="12" w:name="_Toc70357785"/>
            <w:bookmarkStart w:id="13" w:name="_Toc70425110"/>
            <w:r>
              <w:rPr>
                <w:rFonts w:hint="cs"/>
                <w:rtl/>
              </w:rPr>
              <w:t>תיקון הפתיח</w:t>
            </w:r>
            <w:bookmarkEnd w:id="12"/>
            <w:bookmarkEnd w:id="13"/>
          </w:p>
        </w:tc>
        <w:tc>
          <w:tcPr>
            <w:tcW w:w="624" w:type="dxa"/>
          </w:tcPr>
          <w:p w14:paraId="29628062" w14:textId="77777777" w:rsidR="003F3369" w:rsidRDefault="003F3369" w:rsidP="00E40771">
            <w:pPr>
              <w:pStyle w:val="TableText"/>
              <w:keepLines w:val="0"/>
              <w:numPr>
                <w:ilvl w:val="0"/>
                <w:numId w:val="4"/>
              </w:numPr>
            </w:pPr>
          </w:p>
        </w:tc>
        <w:tc>
          <w:tcPr>
            <w:tcW w:w="7146" w:type="dxa"/>
          </w:tcPr>
          <w:p w14:paraId="42E40937" w14:textId="77777777" w:rsidR="003F3369" w:rsidRPr="00C34DE2" w:rsidRDefault="003F3369" w:rsidP="00E40771">
            <w:pPr>
              <w:pStyle w:val="TableBlock"/>
              <w:keepLines w:val="0"/>
            </w:pPr>
            <w:r>
              <w:rPr>
                <w:rFonts w:hint="cs"/>
                <w:rtl/>
              </w:rPr>
              <w:t>בכללים העיקריים, ברישה במקום "ההגבלים העסקיים" יבוא "התחרות הכלכלית".</w:t>
            </w:r>
          </w:p>
        </w:tc>
      </w:tr>
      <w:tr w:rsidR="003F3369" w14:paraId="7E3A83D0" w14:textId="77777777" w:rsidTr="00E40771">
        <w:trPr>
          <w:cantSplit/>
          <w:trHeight w:val="60"/>
        </w:trPr>
        <w:tc>
          <w:tcPr>
            <w:tcW w:w="1871" w:type="dxa"/>
          </w:tcPr>
          <w:p w14:paraId="2B5425ED" w14:textId="77777777" w:rsidR="003F3369" w:rsidRDefault="003F3369" w:rsidP="00E40771">
            <w:pPr>
              <w:pStyle w:val="TableSideHeading"/>
              <w:keepLines w:val="0"/>
              <w:rPr>
                <w:rtl/>
              </w:rPr>
            </w:pPr>
            <w:bookmarkStart w:id="14" w:name="_Toc70357786"/>
            <w:bookmarkStart w:id="15" w:name="_Toc70425111"/>
            <w:r>
              <w:rPr>
                <w:rFonts w:hint="cs"/>
                <w:rtl/>
              </w:rPr>
              <w:t>תיקון סעיף 2</w:t>
            </w:r>
            <w:bookmarkEnd w:id="14"/>
            <w:bookmarkEnd w:id="15"/>
          </w:p>
          <w:p w14:paraId="563FC233" w14:textId="77777777" w:rsidR="003F3369" w:rsidRPr="001F47AB" w:rsidRDefault="003F3369" w:rsidP="00E40771"/>
        </w:tc>
        <w:tc>
          <w:tcPr>
            <w:tcW w:w="624" w:type="dxa"/>
          </w:tcPr>
          <w:p w14:paraId="6709F4D8" w14:textId="77777777" w:rsidR="003F3369" w:rsidRPr="0086477D" w:rsidRDefault="003F3369" w:rsidP="00E40771">
            <w:pPr>
              <w:pStyle w:val="ListParagraph"/>
              <w:numPr>
                <w:ilvl w:val="0"/>
                <w:numId w:val="4"/>
              </w:numPr>
            </w:pPr>
          </w:p>
        </w:tc>
        <w:tc>
          <w:tcPr>
            <w:tcW w:w="7146" w:type="dxa"/>
          </w:tcPr>
          <w:p w14:paraId="0402E5E7" w14:textId="1A202009" w:rsidR="003F3369" w:rsidRPr="0086477D" w:rsidRDefault="003F3369" w:rsidP="00EA3844">
            <w:pPr>
              <w:pStyle w:val="TableBlock"/>
              <w:keepLines w:val="0"/>
              <w:tabs>
                <w:tab w:val="left" w:pos="6214"/>
              </w:tabs>
            </w:pPr>
            <w:r>
              <w:rPr>
                <w:rFonts w:hint="cs"/>
                <w:rtl/>
              </w:rPr>
              <w:t>בסעיף 2 לכללים העיקריים, במקום "להגבלים עסקיים" יבוא "לתחרות".</w:t>
            </w:r>
          </w:p>
        </w:tc>
      </w:tr>
      <w:tr w:rsidR="003F3369" w14:paraId="1BE5CC0F" w14:textId="77777777" w:rsidTr="00E40771">
        <w:trPr>
          <w:cantSplit/>
          <w:trHeight w:val="60"/>
        </w:trPr>
        <w:tc>
          <w:tcPr>
            <w:tcW w:w="1871" w:type="dxa"/>
          </w:tcPr>
          <w:p w14:paraId="25DFCBE8" w14:textId="77777777" w:rsidR="003F3369" w:rsidRDefault="003F3369" w:rsidP="00E40771">
            <w:pPr>
              <w:pStyle w:val="TableSideHeading"/>
              <w:keepLines w:val="0"/>
              <w:rPr>
                <w:rtl/>
              </w:rPr>
            </w:pPr>
            <w:bookmarkStart w:id="16" w:name="_Toc70357787"/>
            <w:bookmarkStart w:id="17" w:name="_Toc70425112"/>
            <w:r>
              <w:rPr>
                <w:rFonts w:hint="cs"/>
                <w:rtl/>
              </w:rPr>
              <w:t>תיקון סעיף 4א</w:t>
            </w:r>
            <w:bookmarkEnd w:id="16"/>
            <w:bookmarkEnd w:id="17"/>
          </w:p>
        </w:tc>
        <w:tc>
          <w:tcPr>
            <w:tcW w:w="624" w:type="dxa"/>
          </w:tcPr>
          <w:p w14:paraId="159E5B2D" w14:textId="77777777" w:rsidR="003F3369" w:rsidRDefault="003F3369" w:rsidP="00E40771">
            <w:pPr>
              <w:pStyle w:val="TableText"/>
              <w:keepLines w:val="0"/>
              <w:numPr>
                <w:ilvl w:val="0"/>
                <w:numId w:val="4"/>
              </w:numPr>
            </w:pPr>
          </w:p>
        </w:tc>
        <w:tc>
          <w:tcPr>
            <w:tcW w:w="7146" w:type="dxa"/>
          </w:tcPr>
          <w:p w14:paraId="771C834B" w14:textId="5D79B6EF" w:rsidR="003F3369" w:rsidRDefault="00EA3844" w:rsidP="00E40771">
            <w:pPr>
              <w:pStyle w:val="TableBlock"/>
              <w:keepLines w:val="0"/>
              <w:tabs>
                <w:tab w:val="left" w:pos="6214"/>
              </w:tabs>
              <w:rPr>
                <w:rtl/>
              </w:rPr>
            </w:pPr>
            <w:r>
              <w:rPr>
                <w:rFonts w:hint="cs"/>
                <w:rtl/>
              </w:rPr>
              <w:t>ב</w:t>
            </w:r>
            <w:r w:rsidR="003F3369">
              <w:rPr>
                <w:rFonts w:hint="cs"/>
                <w:rtl/>
              </w:rPr>
              <w:t>סעיף 4א לכללים העיקריים, במקום "להגבלים עסקיים" יבוא "לתחרות".</w:t>
            </w:r>
          </w:p>
        </w:tc>
      </w:tr>
      <w:tr w:rsidR="00FB17C1" w14:paraId="0C3F1C8A" w14:textId="77777777" w:rsidTr="00E40771">
        <w:trPr>
          <w:cantSplit/>
          <w:trHeight w:val="60"/>
        </w:trPr>
        <w:tc>
          <w:tcPr>
            <w:tcW w:w="1871" w:type="dxa"/>
          </w:tcPr>
          <w:p w14:paraId="59D22002" w14:textId="14ABEE0D" w:rsidR="00FB17C1" w:rsidRDefault="00FB17C1" w:rsidP="00E40771">
            <w:pPr>
              <w:pStyle w:val="TableSideHeading"/>
              <w:keepLines w:val="0"/>
              <w:rPr>
                <w:rtl/>
              </w:rPr>
            </w:pPr>
            <w:bookmarkStart w:id="18" w:name="_Toc70357788"/>
            <w:bookmarkStart w:id="19" w:name="_Toc70425113"/>
            <w:r>
              <w:rPr>
                <w:rFonts w:hint="cs"/>
                <w:rtl/>
              </w:rPr>
              <w:t>תוקף</w:t>
            </w:r>
            <w:bookmarkEnd w:id="18"/>
            <w:bookmarkEnd w:id="19"/>
          </w:p>
        </w:tc>
        <w:tc>
          <w:tcPr>
            <w:tcW w:w="624" w:type="dxa"/>
          </w:tcPr>
          <w:p w14:paraId="6D22CE48" w14:textId="77777777" w:rsidR="00FB17C1" w:rsidRDefault="00FB17C1" w:rsidP="00E40771">
            <w:pPr>
              <w:pStyle w:val="TableText"/>
              <w:keepLines w:val="0"/>
              <w:numPr>
                <w:ilvl w:val="0"/>
                <w:numId w:val="4"/>
              </w:numPr>
            </w:pPr>
          </w:p>
        </w:tc>
        <w:tc>
          <w:tcPr>
            <w:tcW w:w="7146" w:type="dxa"/>
          </w:tcPr>
          <w:p w14:paraId="6B508D06" w14:textId="516B3125" w:rsidR="00FB17C1" w:rsidRDefault="00BC4A54" w:rsidP="00FB41CE">
            <w:pPr>
              <w:pStyle w:val="TableBlock"/>
              <w:keepLines w:val="0"/>
              <w:tabs>
                <w:tab w:val="left" w:pos="6214"/>
              </w:tabs>
              <w:rPr>
                <w:rtl/>
              </w:rPr>
            </w:pPr>
            <w:r w:rsidRPr="00BC4A54">
              <w:rPr>
                <w:rFonts w:hint="cs"/>
                <w:rtl/>
              </w:rPr>
              <w:t xml:space="preserve">תוקף כללים אלה עד יום </w:t>
            </w:r>
            <w:r w:rsidR="00FB17C1" w:rsidRPr="00BC4A54">
              <w:rPr>
                <w:rtl/>
              </w:rPr>
              <w:t>ד'</w:t>
            </w:r>
            <w:r w:rsidR="00FB41CE">
              <w:rPr>
                <w:rtl/>
              </w:rPr>
              <w:t xml:space="preserve"> בתשרי התשפ"ז (15 בספטמבר 2026)</w:t>
            </w:r>
            <w:r w:rsidR="00FB17C1" w:rsidRPr="00BC4A54">
              <w:rPr>
                <w:rtl/>
              </w:rPr>
              <w:t>.</w:t>
            </w:r>
            <w:r w:rsidR="00FB17C1" w:rsidRPr="00FB17C1">
              <w:rPr>
                <w:rFonts w:ascii="David" w:hAnsi="David"/>
                <w:sz w:val="24"/>
                <w:szCs w:val="24"/>
                <w:rtl/>
              </w:rPr>
              <w:t xml:space="preserve"> </w:t>
            </w:r>
          </w:p>
        </w:tc>
      </w:tr>
    </w:tbl>
    <w:p w14:paraId="0CE6FAA9" w14:textId="77777777" w:rsidR="003F3369" w:rsidRDefault="003F3369" w:rsidP="003F3369"/>
    <w:p w14:paraId="142AEE27" w14:textId="77777777" w:rsidR="003F3369" w:rsidRDefault="003F3369" w:rsidP="003F3369">
      <w:pPr>
        <w:rPr>
          <w:rtl/>
        </w:rPr>
      </w:pPr>
    </w:p>
    <w:p w14:paraId="4DFF0FF4" w14:textId="77777777" w:rsidR="003F3369" w:rsidRDefault="003F3369" w:rsidP="003F3369">
      <w:pPr>
        <w:rPr>
          <w:rFonts w:eastAsia="Calibri"/>
          <w:rtl/>
        </w:rPr>
      </w:pPr>
      <w:r>
        <w:rPr>
          <w:rFonts w:eastAsia="Calibri" w:hint="cs"/>
          <w:rtl/>
        </w:rPr>
        <w:t>___ ב________ התש_______ (___ ב________ ____20)</w:t>
      </w:r>
    </w:p>
    <w:p w14:paraId="4D13EFE9" w14:textId="77777777" w:rsidR="003F3369" w:rsidRDefault="003F3369" w:rsidP="003F3369">
      <w:pPr>
        <w:rPr>
          <w:rFonts w:eastAsia="Calibri"/>
          <w:rtl/>
        </w:rPr>
      </w:pPr>
      <w:r>
        <w:rPr>
          <w:rFonts w:eastAsia="Calibri" w:hint="cs"/>
          <w:rtl/>
        </w:rPr>
        <w:t>[תאריך עברי] ([תאריך לועזי])</w:t>
      </w:r>
    </w:p>
    <w:p w14:paraId="10E7A98B" w14:textId="77777777" w:rsidR="003F3369" w:rsidRDefault="003F3369" w:rsidP="003F3369">
      <w:pPr>
        <w:rPr>
          <w:rFonts w:eastAsia="Calibri"/>
          <w:rtl/>
        </w:rPr>
      </w:pPr>
      <w:r>
        <w:rPr>
          <w:rFonts w:eastAsia="Calibri" w:hint="cs"/>
          <w:rtl/>
        </w:rPr>
        <w:t>(חמ _____-3)</w:t>
      </w:r>
    </w:p>
    <w:p w14:paraId="2260028E" w14:textId="77777777" w:rsidR="003F3369" w:rsidRDefault="003F3369" w:rsidP="003F3369">
      <w:pPr>
        <w:rPr>
          <w:rFonts w:eastAsia="Calibri"/>
          <w:rtl/>
        </w:rPr>
      </w:pPr>
    </w:p>
    <w:p w14:paraId="584EB8E2" w14:textId="77777777" w:rsidR="003F3369" w:rsidRDefault="003F3369" w:rsidP="003F3369">
      <w:pPr>
        <w:ind w:left="5760"/>
        <w:jc w:val="center"/>
        <w:rPr>
          <w:rFonts w:eastAsia="Calibri"/>
          <w:rtl/>
        </w:rPr>
      </w:pPr>
      <w:r>
        <w:rPr>
          <w:rFonts w:eastAsia="Calibri" w:hint="cs"/>
          <w:rtl/>
        </w:rPr>
        <w:t>__________________</w:t>
      </w:r>
    </w:p>
    <w:p w14:paraId="5F1791E3" w14:textId="77777777" w:rsidR="003F3369" w:rsidRDefault="003F3369" w:rsidP="003F3369">
      <w:pPr>
        <w:ind w:left="5760"/>
        <w:jc w:val="center"/>
        <w:rPr>
          <w:rFonts w:eastAsia="Calibri"/>
          <w:rtl/>
        </w:rPr>
      </w:pPr>
      <w:r>
        <w:rPr>
          <w:rFonts w:eastAsia="Calibri" w:hint="cs"/>
          <w:rtl/>
        </w:rPr>
        <w:lastRenderedPageBreak/>
        <w:t>מיכל הלפרין</w:t>
      </w:r>
    </w:p>
    <w:p w14:paraId="26449EDD" w14:textId="77777777" w:rsidR="003F3369" w:rsidRDefault="003F3369" w:rsidP="003F3369">
      <w:pPr>
        <w:ind w:left="5760"/>
        <w:jc w:val="center"/>
        <w:rPr>
          <w:rFonts w:eastAsia="Calibri"/>
          <w:rtl/>
        </w:rPr>
      </w:pPr>
      <w:r>
        <w:rPr>
          <w:rFonts w:eastAsia="Calibri" w:hint="cs"/>
          <w:rtl/>
        </w:rPr>
        <w:t>הממונה על התחרות</w:t>
      </w:r>
    </w:p>
    <w:p w14:paraId="318F3F41" w14:textId="77777777" w:rsidR="003F3369" w:rsidRPr="00C640AA" w:rsidRDefault="003F3369" w:rsidP="003F3369">
      <w:pPr>
        <w:rPr>
          <w:rtl/>
        </w:rPr>
      </w:pPr>
    </w:p>
    <w:p w14:paraId="54ED5142" w14:textId="77777777" w:rsidR="003F3369" w:rsidRDefault="003F3369" w:rsidP="003F3369">
      <w:pPr>
        <w:rPr>
          <w:rFonts w:eastAsia="Calibri"/>
          <w:rtl/>
        </w:rPr>
      </w:pPr>
    </w:p>
    <w:p w14:paraId="2F532B0B" w14:textId="5DDD1BB3" w:rsidR="003F3369" w:rsidRDefault="003F3369" w:rsidP="00AE6806">
      <w:pPr>
        <w:ind w:left="5760"/>
        <w:jc w:val="center"/>
        <w:rPr>
          <w:rFonts w:eastAsia="Calibri"/>
          <w:rtl/>
        </w:rPr>
      </w:pPr>
      <w:r>
        <w:rPr>
          <w:rFonts w:eastAsia="Calibri" w:hint="cs"/>
          <w:rtl/>
        </w:rPr>
        <w:t>__________________</w:t>
      </w:r>
    </w:p>
    <w:p w14:paraId="24A70536" w14:textId="77777777" w:rsidR="003F3369" w:rsidRDefault="003F3369" w:rsidP="003F3369">
      <w:pPr>
        <w:ind w:left="5760"/>
        <w:jc w:val="center"/>
        <w:rPr>
          <w:rFonts w:eastAsia="Calibri"/>
          <w:rtl/>
        </w:rPr>
      </w:pPr>
      <w:r>
        <w:rPr>
          <w:rFonts w:eastAsia="Calibri" w:hint="cs"/>
          <w:rtl/>
        </w:rPr>
        <w:t>[שם מלא של המתקין]</w:t>
      </w:r>
    </w:p>
    <w:p w14:paraId="367FB5A5" w14:textId="03FF19A5" w:rsidR="003F3369" w:rsidRDefault="00EB378A" w:rsidP="00EB378A">
      <w:pPr>
        <w:ind w:left="5760"/>
        <w:jc w:val="center"/>
        <w:rPr>
          <w:rFonts w:eastAsia="Calibri"/>
          <w:rtl/>
        </w:rPr>
      </w:pPr>
      <w:r>
        <w:rPr>
          <w:rFonts w:eastAsia="Calibri" w:hint="cs"/>
          <w:rtl/>
        </w:rPr>
        <w:t>שר הכלכלה</w:t>
      </w:r>
    </w:p>
    <w:p w14:paraId="6C8785DD" w14:textId="67DF5A6A" w:rsidR="00BC4A54" w:rsidRDefault="00BC4A54" w:rsidP="00EB378A">
      <w:pPr>
        <w:ind w:left="5760"/>
        <w:jc w:val="center"/>
        <w:rPr>
          <w:rFonts w:eastAsia="Calibri"/>
          <w:rtl/>
        </w:rPr>
      </w:pPr>
    </w:p>
    <w:p w14:paraId="7E9C7FCD" w14:textId="77777777" w:rsidR="0072235B" w:rsidRDefault="0072235B" w:rsidP="00EB378A">
      <w:pPr>
        <w:ind w:left="5760"/>
        <w:jc w:val="center"/>
        <w:rPr>
          <w:rFonts w:eastAsia="Calibri"/>
          <w:rtl/>
        </w:rPr>
      </w:pPr>
    </w:p>
    <w:p w14:paraId="4CFEF8DB" w14:textId="77777777" w:rsidR="00BC4A54" w:rsidRDefault="00BC4A54" w:rsidP="00EB378A">
      <w:pPr>
        <w:ind w:left="5760"/>
        <w:jc w:val="center"/>
        <w:rPr>
          <w:rFonts w:eastAsia="Calibri"/>
          <w:rtl/>
        </w:rPr>
      </w:pPr>
    </w:p>
    <w:p w14:paraId="5C684A4A" w14:textId="77777777" w:rsidR="003F3369" w:rsidRDefault="003F3369" w:rsidP="003F3369">
      <w:pPr>
        <w:pStyle w:val="HeadDivreiHesber"/>
        <w:rPr>
          <w:rtl/>
        </w:rPr>
      </w:pPr>
      <w:bookmarkStart w:id="20" w:name="_Toc70357789"/>
      <w:bookmarkStart w:id="21" w:name="_Toc70425114"/>
      <w:r>
        <w:rPr>
          <w:rtl/>
        </w:rPr>
        <w:t>דברי הסבר</w:t>
      </w:r>
      <w:bookmarkEnd w:id="20"/>
      <w:bookmarkEnd w:id="21"/>
    </w:p>
    <w:p w14:paraId="59A0FA60" w14:textId="0ECB97FF" w:rsidR="009C284C" w:rsidRDefault="009C284C" w:rsidP="006B2627">
      <w:pPr>
        <w:rPr>
          <w:rtl/>
        </w:rPr>
      </w:pPr>
      <w:r w:rsidRPr="009C284C">
        <w:rPr>
          <w:rFonts w:hint="cs"/>
          <w:rtl/>
        </w:rPr>
        <w:t xml:space="preserve">כללי ההגבלים העסקיים (פטור סוג להסכמי הפצה בלעדית) (הוראת שעה), תשס"א-2001 (להלן </w:t>
      </w:r>
      <w:r w:rsidRPr="009C284C">
        <w:rPr>
          <w:rFonts w:hint="eastAsia"/>
          <w:b/>
          <w:bCs/>
          <w:rtl/>
        </w:rPr>
        <w:t>פטור</w:t>
      </w:r>
      <w:r w:rsidRPr="009C284C">
        <w:rPr>
          <w:b/>
          <w:bCs/>
          <w:rtl/>
        </w:rPr>
        <w:t xml:space="preserve"> </w:t>
      </w:r>
      <w:r w:rsidRPr="009C284C">
        <w:rPr>
          <w:rFonts w:hint="eastAsia"/>
          <w:b/>
          <w:bCs/>
          <w:rtl/>
        </w:rPr>
        <w:t>הסוג</w:t>
      </w:r>
      <w:r w:rsidRPr="009C284C">
        <w:rPr>
          <w:rFonts w:hint="cs"/>
          <w:rtl/>
        </w:rPr>
        <w:t xml:space="preserve">) הותקנו לראשונה בשנת 2001 עם הוספת מנגנון פטורי הסוג לחוק התחרות הכלכלית, התשמ"ח-1988 (להלן </w:t>
      </w:r>
      <w:r w:rsidRPr="009C284C">
        <w:rPr>
          <w:rFonts w:hint="cs"/>
          <w:b/>
          <w:bCs/>
          <w:rtl/>
        </w:rPr>
        <w:t>החוק</w:t>
      </w:r>
      <w:r w:rsidRPr="009C284C">
        <w:rPr>
          <w:rFonts w:hint="cs"/>
          <w:rtl/>
        </w:rPr>
        <w:t xml:space="preserve">) והוארכו מאז מספר פעמים. פטור הסוג משתייך למשפחת ההסדרים האנכיים </w:t>
      </w:r>
      <w:r w:rsidRPr="009C284C">
        <w:rPr>
          <w:rtl/>
        </w:rPr>
        <w:t>–</w:t>
      </w:r>
      <w:r w:rsidRPr="009C284C">
        <w:rPr>
          <w:rFonts w:hint="cs"/>
          <w:rtl/>
        </w:rPr>
        <w:t xml:space="preserve"> הסדרים בין גורמים הנמצאים בחוליות שונות של שרשרת הערך. מקובל להבחין הבחנה יסודית בין הסדרים אופקיים שבין מתחרים לבין הסדרים אנכיים. הסדרים אופקיים מעצם טיבם מעוררים חששות תחרותיים מוגברים. לעומת זאת, לחלק גדול מההסדרים האנכיים, עשויות לעמוד הצדקות עסקיות לגיטימיות בצד השפעה מועטה, אם בכלל, על התחרות. פטור הסוג עוסק בהסכם להפצה בלעדית, הסכם בין ספק ומפיץ במסגרתו מתחייב הספק למכור טובין מסוג מסוים רק </w:t>
      </w:r>
      <w:r w:rsidRPr="009C284C">
        <w:rPr>
          <w:rFonts w:hint="cs"/>
          <w:rtl/>
        </w:rPr>
        <w:lastRenderedPageBreak/>
        <w:t xml:space="preserve">למפיץ אחד. הסדרים מסוג כזה </w:t>
      </w:r>
      <w:r w:rsidR="006B2627">
        <w:rPr>
          <w:rFonts w:hint="cs"/>
          <w:rtl/>
        </w:rPr>
        <w:t>עלולים להעלות</w:t>
      </w:r>
      <w:r w:rsidRPr="009C284C">
        <w:rPr>
          <w:rFonts w:hint="cs"/>
          <w:rtl/>
        </w:rPr>
        <w:t xml:space="preserve"> מספר חששות תחרותיים, כך למשל: פגיעה בתחרות התוך מותגית</w:t>
      </w:r>
      <w:r w:rsidRPr="009C284C">
        <w:rPr>
          <w:vertAlign w:val="superscript"/>
          <w:rtl/>
        </w:rPr>
        <w:footnoteReference w:id="4"/>
      </w:r>
      <w:r w:rsidRPr="009C284C">
        <w:t>;</w:t>
      </w:r>
      <w:r w:rsidR="006B2627">
        <w:rPr>
          <w:rFonts w:hint="cs"/>
          <w:rtl/>
        </w:rPr>
        <w:t xml:space="preserve"> צינון</w:t>
      </w:r>
      <w:r w:rsidRPr="009C284C">
        <w:rPr>
          <w:rFonts w:hint="cs"/>
          <w:rtl/>
        </w:rPr>
        <w:t xml:space="preserve"> התחרות או הקלה על תיאום הן במקטע המפיצים והן במקטע הספקים</w:t>
      </w:r>
      <w:r w:rsidRPr="009C284C">
        <w:t>;</w:t>
      </w:r>
      <w:r w:rsidRPr="009C284C">
        <w:rPr>
          <w:rFonts w:hint="cs"/>
          <w:rtl/>
        </w:rPr>
        <w:t xml:space="preserve"> דחיקת מפיצים מהשוק ועוד. לצורך הפגת החשש, תחולת פטור הסוג מותנית בעמידה ברשימת תנאים, המקיימים את דרישות סעיף 15א(א) לחוק, ובהם קביעת נתחי שוק מרביים של המפיץ לתחולת פטור הסוג, היעדר תחולה של פטור הסוג על בעל מונופולין וכללים הנוגעים לתוכן הסכם ההפצה שבין הספק והמפיץ.  </w:t>
      </w:r>
    </w:p>
    <w:p w14:paraId="71758F89" w14:textId="77777777" w:rsidR="00E91CCD" w:rsidRDefault="00E91CCD" w:rsidP="00E91CCD">
      <w:r w:rsidRPr="00D2504D">
        <w:rPr>
          <w:rtl/>
        </w:rPr>
        <w:t xml:space="preserve">לצד פטור הסוג חלים כללי ההגבלים העסקיים (פטור הסוג להסדרים שאינם אופקיים ואין בהם כבילות מחיר מסוימות) (הוראת שעה), התשע"ג-2013 (להלן פטור הסוג האנכי) שקובעים שהסדרים הכלולים במסגרתם יהיו פטורים אם הם עומדים בבחינה מהותית של השפעת ההסדר על התחרות ובבחינת השאלה האם עיקרו של ההסדר הוא בפגיעה בתחרות. פטור הסוג האנכי עשוי לחול גם על הסכמי </w:t>
      </w:r>
      <w:r>
        <w:rPr>
          <w:rFonts w:hint="cs"/>
          <w:rtl/>
        </w:rPr>
        <w:t>הפצה בלעדית</w:t>
      </w:r>
      <w:r w:rsidRPr="00D2504D">
        <w:rPr>
          <w:rtl/>
        </w:rPr>
        <w:t xml:space="preserve"> שאינם עומדים בתנאים הקבועים בפטור הסוג</w:t>
      </w:r>
      <w:r>
        <w:rPr>
          <w:rFonts w:hint="cs"/>
          <w:rtl/>
        </w:rPr>
        <w:t xml:space="preserve">. </w:t>
      </w:r>
    </w:p>
    <w:p w14:paraId="0FB20FFE" w14:textId="5D0096C8" w:rsidR="009C284C" w:rsidRPr="009C284C" w:rsidRDefault="009C284C" w:rsidP="009C284C">
      <w:pPr>
        <w:rPr>
          <w:rtl/>
        </w:rPr>
      </w:pPr>
      <w:r w:rsidRPr="009C284C">
        <w:rPr>
          <w:rFonts w:hint="cs"/>
          <w:rtl/>
        </w:rPr>
        <w:t xml:space="preserve">במסגרת התיקון מוצע לחדש </w:t>
      </w:r>
      <w:r w:rsidRPr="009C284C">
        <w:rPr>
          <w:rtl/>
        </w:rPr>
        <w:t>את פטור הסוג לתקופה של 5 שנים</w:t>
      </w:r>
      <w:r w:rsidRPr="009C284C">
        <w:rPr>
          <w:rFonts w:hint="cs"/>
          <w:rtl/>
        </w:rPr>
        <w:t xml:space="preserve"> נוספות</w:t>
      </w:r>
      <w:r w:rsidRPr="009C284C">
        <w:rPr>
          <w:rtl/>
        </w:rPr>
        <w:t>. כן מוצע להתאים את נוסח הוראות פטור הסוג לתיקון מס' 21 לחוק במסגרתו שונה, בין היתר, שם החוק ל</w:t>
      </w:r>
      <w:r w:rsidR="00A571E7">
        <w:rPr>
          <w:rFonts w:hint="cs"/>
          <w:rtl/>
        </w:rPr>
        <w:t>"</w:t>
      </w:r>
      <w:r w:rsidRPr="009C284C">
        <w:rPr>
          <w:rtl/>
        </w:rPr>
        <w:t>חוק התחרות הכלכלית</w:t>
      </w:r>
      <w:r w:rsidR="00A571E7">
        <w:rPr>
          <w:rFonts w:hint="cs"/>
          <w:rtl/>
        </w:rPr>
        <w:t>"</w:t>
      </w:r>
      <w:r w:rsidRPr="009C284C">
        <w:rPr>
          <w:rFonts w:hint="cs"/>
          <w:rtl/>
        </w:rPr>
        <w:t xml:space="preserve"> ושמו של בית הדין ל</w:t>
      </w:r>
      <w:r w:rsidR="00A571E7">
        <w:rPr>
          <w:rFonts w:hint="cs"/>
          <w:rtl/>
        </w:rPr>
        <w:t>"</w:t>
      </w:r>
      <w:r w:rsidRPr="009C284C">
        <w:rPr>
          <w:rFonts w:hint="cs"/>
          <w:rtl/>
        </w:rPr>
        <w:t>בין הדין לתחרות</w:t>
      </w:r>
      <w:r w:rsidR="00A571E7">
        <w:rPr>
          <w:rFonts w:hint="cs"/>
          <w:rtl/>
        </w:rPr>
        <w:t>"</w:t>
      </w:r>
      <w:r w:rsidRPr="009C284C">
        <w:rPr>
          <w:rFonts w:hint="cs"/>
          <w:rtl/>
        </w:rPr>
        <w:t>.</w:t>
      </w:r>
    </w:p>
    <w:p w14:paraId="5838BB42" w14:textId="315043D2" w:rsidR="003F3369" w:rsidRPr="008C7F5C" w:rsidRDefault="003F3369" w:rsidP="003636FA">
      <w:pPr>
        <w:rPr>
          <w:b/>
          <w:bCs/>
          <w:rtl/>
        </w:rPr>
      </w:pPr>
      <w:r>
        <w:rPr>
          <w:rFonts w:hint="cs"/>
          <w:b/>
          <w:bCs/>
          <w:rtl/>
        </w:rPr>
        <w:t>סעיף 2, 4א</w:t>
      </w:r>
    </w:p>
    <w:p w14:paraId="1374BA28" w14:textId="64D80037" w:rsidR="003F3369" w:rsidRDefault="003F3369" w:rsidP="003F3369">
      <w:pPr>
        <w:rPr>
          <w:rtl/>
        </w:rPr>
      </w:pPr>
      <w:r>
        <w:rPr>
          <w:rFonts w:hint="cs"/>
          <w:rtl/>
        </w:rPr>
        <w:t>מוצע להתאים את נוסח הוראות פטור הסוג לתיקון מס' 21 לחוק התחרות הכלכלית, התשמ"ח-1988. במסגרתו שונה, בין היתר, שם החוק ל</w:t>
      </w:r>
      <w:r w:rsidR="00A571E7">
        <w:rPr>
          <w:rFonts w:hint="cs"/>
          <w:rtl/>
        </w:rPr>
        <w:t>"</w:t>
      </w:r>
      <w:r>
        <w:rPr>
          <w:rFonts w:hint="cs"/>
          <w:rtl/>
        </w:rPr>
        <w:t>חוק התחרות הכלכלית</w:t>
      </w:r>
      <w:r w:rsidR="00A571E7">
        <w:rPr>
          <w:rFonts w:hint="cs"/>
          <w:rtl/>
        </w:rPr>
        <w:t>"</w:t>
      </w:r>
      <w:r>
        <w:rPr>
          <w:rFonts w:hint="cs"/>
          <w:rtl/>
        </w:rPr>
        <w:t xml:space="preserve"> ושמו של בית הדין ל</w:t>
      </w:r>
      <w:r w:rsidR="00A571E7">
        <w:rPr>
          <w:rFonts w:hint="cs"/>
          <w:rtl/>
        </w:rPr>
        <w:t>"</w:t>
      </w:r>
      <w:r>
        <w:rPr>
          <w:rFonts w:hint="cs"/>
          <w:rtl/>
        </w:rPr>
        <w:t>בית הדין לתחרות</w:t>
      </w:r>
      <w:r w:rsidR="00A571E7">
        <w:rPr>
          <w:rFonts w:hint="cs"/>
          <w:rtl/>
        </w:rPr>
        <w:t>"</w:t>
      </w:r>
      <w:r>
        <w:rPr>
          <w:rFonts w:hint="cs"/>
          <w:rtl/>
        </w:rPr>
        <w:t>.</w:t>
      </w:r>
    </w:p>
    <w:p w14:paraId="00164895" w14:textId="47C09262" w:rsidR="003F3369" w:rsidRDefault="00A571E7" w:rsidP="003F3369">
      <w:pPr>
        <w:rPr>
          <w:rtl/>
        </w:rPr>
      </w:pPr>
      <w:r>
        <w:rPr>
          <w:rFonts w:hint="cs"/>
          <w:b/>
          <w:bCs/>
          <w:rtl/>
        </w:rPr>
        <w:t>תוקף</w:t>
      </w:r>
    </w:p>
    <w:p w14:paraId="71EB2A82" w14:textId="77777777" w:rsidR="003F3369" w:rsidRDefault="003F3369" w:rsidP="003F3369">
      <w:r>
        <w:rPr>
          <w:rFonts w:hint="cs"/>
          <w:rtl/>
        </w:rPr>
        <w:t xml:space="preserve">מוצע לחדש את פטור הסוג לתקופה של 5 שנים וזאת לאור הניסיון שנצבר ברשות התחרות עד כה לפיו, למיטב הידיעה, </w:t>
      </w:r>
      <w:r w:rsidRPr="00CC4B65">
        <w:rPr>
          <w:rtl/>
        </w:rPr>
        <w:t>פטור הסוג אינו מעלה חששות לפגיעה בתחרות</w:t>
      </w:r>
      <w:r>
        <w:rPr>
          <w:rFonts w:hint="cs"/>
          <w:rtl/>
        </w:rPr>
        <w:t xml:space="preserve"> או בציבור.</w:t>
      </w:r>
    </w:p>
    <w:p w14:paraId="0821C448" w14:textId="77777777" w:rsidR="004135B1" w:rsidRPr="003F3369" w:rsidRDefault="004135B1"/>
    <w:sectPr w:rsidR="004135B1" w:rsidRPr="003F3369" w:rsidSect="003A35C0">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8FE3F" w14:textId="77777777" w:rsidR="00AE5DA6" w:rsidRDefault="00AE5DA6" w:rsidP="00153312">
      <w:pPr>
        <w:spacing w:line="240" w:lineRule="auto"/>
      </w:pPr>
      <w:r>
        <w:separator/>
      </w:r>
    </w:p>
  </w:endnote>
  <w:endnote w:type="continuationSeparator" w:id="0">
    <w:p w14:paraId="3F910FBA" w14:textId="77777777" w:rsidR="00AE5DA6" w:rsidRDefault="00AE5DA6" w:rsidP="001533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95D36" w14:textId="77777777" w:rsidR="00AE5DA6" w:rsidRDefault="00AE5DA6" w:rsidP="00F2001B">
      <w:pPr>
        <w:spacing w:line="240" w:lineRule="auto"/>
        <w:ind w:left="0"/>
      </w:pPr>
      <w:r>
        <w:separator/>
      </w:r>
    </w:p>
  </w:footnote>
  <w:footnote w:type="continuationSeparator" w:id="0">
    <w:p w14:paraId="0B485F4E" w14:textId="77777777" w:rsidR="00AE5DA6" w:rsidRDefault="00AE5DA6" w:rsidP="00153312">
      <w:pPr>
        <w:spacing w:line="240" w:lineRule="auto"/>
      </w:pPr>
      <w:r>
        <w:continuationSeparator/>
      </w:r>
    </w:p>
  </w:footnote>
  <w:footnote w:id="1">
    <w:p w14:paraId="6F848D1C" w14:textId="2BA1C64C" w:rsidR="003F3369" w:rsidRDefault="003F3369" w:rsidP="003B58B9">
      <w:pPr>
        <w:pStyle w:val="FootnoteText"/>
        <w:rPr>
          <w:rtl/>
        </w:rPr>
      </w:pPr>
      <w:r>
        <w:rPr>
          <w:rStyle w:val="FootnoteReference"/>
        </w:rPr>
        <w:footnoteRef/>
      </w:r>
      <w:r>
        <w:rPr>
          <w:rtl/>
        </w:rPr>
        <w:t xml:space="preserve"> </w:t>
      </w:r>
      <w:r w:rsidR="005D4358">
        <w:rPr>
          <w:rFonts w:hint="cs"/>
          <w:rtl/>
        </w:rPr>
        <w:t xml:space="preserve">ככלל, </w:t>
      </w:r>
      <w:r>
        <w:rPr>
          <w:rFonts w:hint="cs"/>
          <w:rtl/>
        </w:rPr>
        <w:t>המונח "תחרות תוך-מותגית" מתייחס לתחרות שבקרב המוצרים של ספק אחד, בינם לבין עצמם, בשוק נתון</w:t>
      </w:r>
      <w:r w:rsidR="003B58B9">
        <w:rPr>
          <w:rFonts w:hint="cs"/>
          <w:rtl/>
        </w:rPr>
        <w:t xml:space="preserve"> או לתחרות שבין מספר מפיצים המפיצים את אותו מוצר של ספק יחיד בשוק</w:t>
      </w:r>
      <w:r>
        <w:rPr>
          <w:rFonts w:hint="cs"/>
          <w:rtl/>
        </w:rPr>
        <w:t xml:space="preserve">. זאת בעוד שתחרות בין-מותגית מתייחסת לתחרות שבין מוצרים של </w:t>
      </w:r>
      <w:r w:rsidR="005D4358">
        <w:rPr>
          <w:rFonts w:hint="cs"/>
          <w:rtl/>
        </w:rPr>
        <w:t xml:space="preserve">מספר </w:t>
      </w:r>
      <w:r>
        <w:rPr>
          <w:rFonts w:hint="cs"/>
          <w:rtl/>
        </w:rPr>
        <w:t xml:space="preserve">ספקים אחרים בשוק נתון.  </w:t>
      </w:r>
    </w:p>
  </w:footnote>
  <w:footnote w:id="2">
    <w:p w14:paraId="7346D311" w14:textId="77777777" w:rsidR="00EA3844" w:rsidRDefault="00EA3844" w:rsidP="00EA3844">
      <w:pPr>
        <w:pStyle w:val="FootnoteText"/>
        <w:rPr>
          <w:rtl/>
        </w:rPr>
      </w:pPr>
      <w:r>
        <w:rPr>
          <w:rStyle w:val="FootnoteReference"/>
        </w:rPr>
        <w:footnoteRef/>
      </w:r>
      <w:r>
        <w:rPr>
          <w:rtl/>
        </w:rPr>
        <w:t xml:space="preserve"> </w:t>
      </w:r>
      <w:r>
        <w:rPr>
          <w:rFonts w:hint="cs"/>
          <w:rtl/>
        </w:rPr>
        <w:t xml:space="preserve">ס"ח התשמ"ח, עמ' 128; התש"ס, עמ' 113. </w:t>
      </w:r>
    </w:p>
  </w:footnote>
  <w:footnote w:id="3">
    <w:p w14:paraId="6C5141DE" w14:textId="4F74846E" w:rsidR="00021F08" w:rsidRDefault="00021F08">
      <w:pPr>
        <w:pStyle w:val="FootnoteText"/>
        <w:rPr>
          <w:rtl/>
        </w:rPr>
      </w:pPr>
      <w:r>
        <w:rPr>
          <w:rStyle w:val="FootnoteReference"/>
        </w:rPr>
        <w:footnoteRef/>
      </w:r>
      <w:r>
        <w:rPr>
          <w:rtl/>
        </w:rPr>
        <w:t xml:space="preserve"> </w:t>
      </w:r>
      <w:r>
        <w:rPr>
          <w:rFonts w:hint="cs"/>
          <w:rtl/>
        </w:rPr>
        <w:t>ק"ת תשס"א, עמ' 668</w:t>
      </w:r>
      <w:r>
        <w:t>;</w:t>
      </w:r>
      <w:r>
        <w:rPr>
          <w:rFonts w:hint="cs"/>
          <w:rtl/>
        </w:rPr>
        <w:t xml:space="preserve"> ק"ת תשס"ד</w:t>
      </w:r>
      <w:r w:rsidR="004A0EAD">
        <w:rPr>
          <w:rFonts w:hint="cs"/>
          <w:rtl/>
        </w:rPr>
        <w:t>, עמ' 749</w:t>
      </w:r>
      <w:r w:rsidR="004A0EAD">
        <w:t>;</w:t>
      </w:r>
      <w:r w:rsidR="004A0EAD">
        <w:rPr>
          <w:rFonts w:hint="cs"/>
          <w:rtl/>
        </w:rPr>
        <w:t xml:space="preserve"> ק"ת תשס"ו, עמ' 797</w:t>
      </w:r>
      <w:r w:rsidR="004A0EAD">
        <w:t>;</w:t>
      </w:r>
      <w:r w:rsidR="004A0EAD">
        <w:rPr>
          <w:rFonts w:hint="cs"/>
          <w:rtl/>
        </w:rPr>
        <w:t xml:space="preserve"> ק"ת תשע"א, עמ' 848</w:t>
      </w:r>
      <w:r w:rsidR="004A0EAD">
        <w:t>;</w:t>
      </w:r>
      <w:r w:rsidR="004A0EAD">
        <w:rPr>
          <w:rFonts w:hint="cs"/>
          <w:rtl/>
        </w:rPr>
        <w:t xml:space="preserve"> ק"ת תשע"ו, עמ' 847</w:t>
      </w:r>
      <w:r w:rsidR="004A0EAD">
        <w:t>;</w:t>
      </w:r>
      <w:r w:rsidR="004A0EAD">
        <w:rPr>
          <w:rFonts w:hint="cs"/>
          <w:rtl/>
        </w:rPr>
        <w:t xml:space="preserve"> ק"ת תשע"ו, עמ' 2253. </w:t>
      </w:r>
    </w:p>
  </w:footnote>
  <w:footnote w:id="4">
    <w:p w14:paraId="3D1C31F4" w14:textId="77777777" w:rsidR="009C284C" w:rsidRDefault="009C284C" w:rsidP="009C284C">
      <w:pPr>
        <w:pStyle w:val="FootnoteText"/>
        <w:rPr>
          <w:rtl/>
        </w:rPr>
      </w:pPr>
      <w:r>
        <w:rPr>
          <w:rStyle w:val="FootnoteReference"/>
        </w:rPr>
        <w:footnoteRef/>
      </w:r>
      <w:r>
        <w:rPr>
          <w:rtl/>
        </w:rPr>
        <w:t xml:space="preserve"> </w:t>
      </w:r>
      <w:r>
        <w:rPr>
          <w:rFonts w:hint="cs"/>
          <w:rtl/>
        </w:rPr>
        <w:t xml:space="preserve">ככלל, המונח "תחרות תוך-מותגית" מתייחס לתחרות שבקרב המוצרים של ספק אחד, בינם לבין עצמם, בשוק נתון או לתחרות שבין מספר מפיצים המפיצים את אותו מוצר של ספק יחיד בשוק. זאת בעוד שתחרות בין-מותגית מתייחסת לתחרות שבין מוצרים של מספר ספקים אחרים בשוק נתון.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6929B2"/>
    <w:multiLevelType w:val="hybridMultilevel"/>
    <w:tmpl w:val="76D444D4"/>
    <w:lvl w:ilvl="0" w:tplc="ACD4EAA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1CB325F9"/>
    <w:multiLevelType w:val="hybridMultilevel"/>
    <w:tmpl w:val="1464834C"/>
    <w:lvl w:ilvl="0" w:tplc="C554C8A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3FCE"/>
    <w:multiLevelType w:val="hybridMultilevel"/>
    <w:tmpl w:val="EFEE0606"/>
    <w:lvl w:ilvl="0" w:tplc="1D34DA38">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832BE"/>
    <w:multiLevelType w:val="hybridMultilevel"/>
    <w:tmpl w:val="D9ECE078"/>
    <w:lvl w:ilvl="0" w:tplc="6BCAB2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40655"/>
    <w:multiLevelType w:val="hybridMultilevel"/>
    <w:tmpl w:val="1D8837F0"/>
    <w:lvl w:ilvl="0" w:tplc="6DB668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C6F4C06"/>
    <w:multiLevelType w:val="hybridMultilevel"/>
    <w:tmpl w:val="A6D25086"/>
    <w:lvl w:ilvl="0" w:tplc="ECBEF3AC">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04768"/>
    <w:multiLevelType w:val="hybridMultilevel"/>
    <w:tmpl w:val="3A68FDC2"/>
    <w:lvl w:ilvl="0" w:tplc="5BFEA9E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3C544D"/>
    <w:multiLevelType w:val="hybridMultilevel"/>
    <w:tmpl w:val="C7443990"/>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813833"/>
    <w:multiLevelType w:val="hybridMultilevel"/>
    <w:tmpl w:val="92068260"/>
    <w:lvl w:ilvl="0" w:tplc="9C8AD86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1"/>
  </w:num>
  <w:num w:numId="5">
    <w:abstractNumId w:val="13"/>
  </w:num>
  <w:num w:numId="6">
    <w:abstractNumId w:val="23"/>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6"/>
  </w:num>
  <w:num w:numId="17">
    <w:abstractNumId w:val="16"/>
    <w:lvlOverride w:ilvl="0">
      <w:startOverride w:val="1"/>
    </w:lvlOverride>
  </w:num>
  <w:num w:numId="18">
    <w:abstractNumId w:val="11"/>
  </w:num>
  <w:num w:numId="19">
    <w:abstractNumId w:val="18"/>
  </w:num>
  <w:num w:numId="20">
    <w:abstractNumId w:val="22"/>
  </w:num>
  <w:num w:numId="21">
    <w:abstractNumId w:val="19"/>
  </w:num>
  <w:num w:numId="22">
    <w:abstractNumId w:val="14"/>
  </w:num>
  <w:num w:numId="23">
    <w:abstractNumId w:val="20"/>
  </w:num>
  <w:num w:numId="24">
    <w:abstractNumId w:val="15"/>
  </w:num>
  <w:num w:numId="25">
    <w:abstractNumId w:val="17"/>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C0"/>
    <w:rsid w:val="000159F5"/>
    <w:rsid w:val="00021F08"/>
    <w:rsid w:val="0003048E"/>
    <w:rsid w:val="00086F89"/>
    <w:rsid w:val="00090A79"/>
    <w:rsid w:val="000C3936"/>
    <w:rsid w:val="000E583D"/>
    <w:rsid w:val="000E6627"/>
    <w:rsid w:val="00102867"/>
    <w:rsid w:val="00104557"/>
    <w:rsid w:val="0011103E"/>
    <w:rsid w:val="00136F81"/>
    <w:rsid w:val="00146191"/>
    <w:rsid w:val="00153312"/>
    <w:rsid w:val="00176DD5"/>
    <w:rsid w:val="001770DB"/>
    <w:rsid w:val="0018323E"/>
    <w:rsid w:val="001A3B32"/>
    <w:rsid w:val="001A6E3E"/>
    <w:rsid w:val="001B3826"/>
    <w:rsid w:val="001B6E44"/>
    <w:rsid w:val="001C0B18"/>
    <w:rsid w:val="001C6153"/>
    <w:rsid w:val="001F029A"/>
    <w:rsid w:val="00235BD6"/>
    <w:rsid w:val="002505F1"/>
    <w:rsid w:val="002539D7"/>
    <w:rsid w:val="00267192"/>
    <w:rsid w:val="00282978"/>
    <w:rsid w:val="00285BB9"/>
    <w:rsid w:val="00286F55"/>
    <w:rsid w:val="002A67C0"/>
    <w:rsid w:val="002B1691"/>
    <w:rsid w:val="002C23BC"/>
    <w:rsid w:val="002C287B"/>
    <w:rsid w:val="002C3CAB"/>
    <w:rsid w:val="002C5106"/>
    <w:rsid w:val="003052B6"/>
    <w:rsid w:val="00310099"/>
    <w:rsid w:val="00342FFE"/>
    <w:rsid w:val="003431A9"/>
    <w:rsid w:val="0034368F"/>
    <w:rsid w:val="003636FA"/>
    <w:rsid w:val="003856AC"/>
    <w:rsid w:val="00397C7B"/>
    <w:rsid w:val="003A35C0"/>
    <w:rsid w:val="003B58B9"/>
    <w:rsid w:val="003E095A"/>
    <w:rsid w:val="003F3369"/>
    <w:rsid w:val="004032EA"/>
    <w:rsid w:val="004135B1"/>
    <w:rsid w:val="00416B8A"/>
    <w:rsid w:val="00440416"/>
    <w:rsid w:val="00444BB9"/>
    <w:rsid w:val="00472792"/>
    <w:rsid w:val="00474BA5"/>
    <w:rsid w:val="004A0EAD"/>
    <w:rsid w:val="004B277F"/>
    <w:rsid w:val="004D775C"/>
    <w:rsid w:val="004F0D39"/>
    <w:rsid w:val="00501382"/>
    <w:rsid w:val="00502B7A"/>
    <w:rsid w:val="005225D4"/>
    <w:rsid w:val="005229C6"/>
    <w:rsid w:val="00527CE0"/>
    <w:rsid w:val="005332DD"/>
    <w:rsid w:val="00547B16"/>
    <w:rsid w:val="005549E7"/>
    <w:rsid w:val="00556FD8"/>
    <w:rsid w:val="005704BF"/>
    <w:rsid w:val="005863E8"/>
    <w:rsid w:val="00594075"/>
    <w:rsid w:val="005B6F37"/>
    <w:rsid w:val="005C1EA0"/>
    <w:rsid w:val="005C4B26"/>
    <w:rsid w:val="005D0997"/>
    <w:rsid w:val="005D4358"/>
    <w:rsid w:val="005D6A11"/>
    <w:rsid w:val="005E7CCC"/>
    <w:rsid w:val="005F05CA"/>
    <w:rsid w:val="00606926"/>
    <w:rsid w:val="0065585A"/>
    <w:rsid w:val="0065797C"/>
    <w:rsid w:val="00662ED4"/>
    <w:rsid w:val="00671D29"/>
    <w:rsid w:val="00684C2B"/>
    <w:rsid w:val="006A5100"/>
    <w:rsid w:val="006A7968"/>
    <w:rsid w:val="006B11BA"/>
    <w:rsid w:val="006B1CDF"/>
    <w:rsid w:val="006B2627"/>
    <w:rsid w:val="006C1832"/>
    <w:rsid w:val="006D403F"/>
    <w:rsid w:val="00703FD9"/>
    <w:rsid w:val="0070495E"/>
    <w:rsid w:val="00705762"/>
    <w:rsid w:val="00706D5C"/>
    <w:rsid w:val="00720809"/>
    <w:rsid w:val="0072235B"/>
    <w:rsid w:val="00734F58"/>
    <w:rsid w:val="00740470"/>
    <w:rsid w:val="007779D9"/>
    <w:rsid w:val="007A1E34"/>
    <w:rsid w:val="007A2CB6"/>
    <w:rsid w:val="007B6631"/>
    <w:rsid w:val="007D0B53"/>
    <w:rsid w:val="007D307A"/>
    <w:rsid w:val="007D47C7"/>
    <w:rsid w:val="00851026"/>
    <w:rsid w:val="00861F79"/>
    <w:rsid w:val="008739AA"/>
    <w:rsid w:val="008A7617"/>
    <w:rsid w:val="008B73BD"/>
    <w:rsid w:val="008C120B"/>
    <w:rsid w:val="00903549"/>
    <w:rsid w:val="009133EB"/>
    <w:rsid w:val="009433F4"/>
    <w:rsid w:val="00964E02"/>
    <w:rsid w:val="00977415"/>
    <w:rsid w:val="00986E18"/>
    <w:rsid w:val="009C284C"/>
    <w:rsid w:val="009D6AF9"/>
    <w:rsid w:val="009E0B90"/>
    <w:rsid w:val="009E3547"/>
    <w:rsid w:val="009F1541"/>
    <w:rsid w:val="009F3FAF"/>
    <w:rsid w:val="00A21CC4"/>
    <w:rsid w:val="00A571E7"/>
    <w:rsid w:val="00A750DA"/>
    <w:rsid w:val="00A91778"/>
    <w:rsid w:val="00A94893"/>
    <w:rsid w:val="00AA0516"/>
    <w:rsid w:val="00AB1632"/>
    <w:rsid w:val="00AB796A"/>
    <w:rsid w:val="00AC0823"/>
    <w:rsid w:val="00AC11D2"/>
    <w:rsid w:val="00AC3A13"/>
    <w:rsid w:val="00AE5DA6"/>
    <w:rsid w:val="00AE6806"/>
    <w:rsid w:val="00AF1665"/>
    <w:rsid w:val="00B65006"/>
    <w:rsid w:val="00B700D2"/>
    <w:rsid w:val="00B80E80"/>
    <w:rsid w:val="00BA3935"/>
    <w:rsid w:val="00BC4140"/>
    <w:rsid w:val="00BC4A54"/>
    <w:rsid w:val="00BD18B2"/>
    <w:rsid w:val="00BF531C"/>
    <w:rsid w:val="00C0306D"/>
    <w:rsid w:val="00C13679"/>
    <w:rsid w:val="00C2288F"/>
    <w:rsid w:val="00C34393"/>
    <w:rsid w:val="00C375E3"/>
    <w:rsid w:val="00C93965"/>
    <w:rsid w:val="00CA2C52"/>
    <w:rsid w:val="00CC4B65"/>
    <w:rsid w:val="00CD3211"/>
    <w:rsid w:val="00CD60A7"/>
    <w:rsid w:val="00CD7320"/>
    <w:rsid w:val="00D05AA0"/>
    <w:rsid w:val="00D12397"/>
    <w:rsid w:val="00D2360F"/>
    <w:rsid w:val="00D26214"/>
    <w:rsid w:val="00D26FA2"/>
    <w:rsid w:val="00D465B0"/>
    <w:rsid w:val="00D4798B"/>
    <w:rsid w:val="00D606C6"/>
    <w:rsid w:val="00D64940"/>
    <w:rsid w:val="00D84784"/>
    <w:rsid w:val="00DA4B37"/>
    <w:rsid w:val="00DA5591"/>
    <w:rsid w:val="00DA699B"/>
    <w:rsid w:val="00DD7CCB"/>
    <w:rsid w:val="00DE205F"/>
    <w:rsid w:val="00DF3CD7"/>
    <w:rsid w:val="00E33B89"/>
    <w:rsid w:val="00E37644"/>
    <w:rsid w:val="00E430AD"/>
    <w:rsid w:val="00E74CA1"/>
    <w:rsid w:val="00E82F2F"/>
    <w:rsid w:val="00E91CCD"/>
    <w:rsid w:val="00E95BDD"/>
    <w:rsid w:val="00EA3844"/>
    <w:rsid w:val="00EA683A"/>
    <w:rsid w:val="00EB378A"/>
    <w:rsid w:val="00ED2DA9"/>
    <w:rsid w:val="00ED3397"/>
    <w:rsid w:val="00ED7659"/>
    <w:rsid w:val="00F12154"/>
    <w:rsid w:val="00F2001B"/>
    <w:rsid w:val="00F30310"/>
    <w:rsid w:val="00F33890"/>
    <w:rsid w:val="00F61F3C"/>
    <w:rsid w:val="00F810F5"/>
    <w:rsid w:val="00F94817"/>
    <w:rsid w:val="00FA200F"/>
    <w:rsid w:val="00FB0150"/>
    <w:rsid w:val="00FB17C1"/>
    <w:rsid w:val="00FB41CE"/>
    <w:rsid w:val="00FC6339"/>
    <w:rsid w:val="00FE71DF"/>
    <w:rsid w:val="00FF67D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B61DA"/>
  <w15:chartTrackingRefBased/>
  <w15:docId w15:val="{4E41FBFF-964E-4E5F-8FB6-ED934000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99B"/>
    <w:pPr>
      <w:widowControl w:val="0"/>
      <w:bidi/>
      <w:spacing w:after="0" w:line="360" w:lineRule="auto"/>
      <w:ind w:left="340"/>
      <w:contextualSpacing/>
      <w:jc w:val="both"/>
    </w:pPr>
    <w:rPr>
      <w:rFonts w:ascii="David" w:hAnsi="David" w:cs="David"/>
      <w:sz w:val="24"/>
      <w:szCs w:val="24"/>
    </w:rPr>
  </w:style>
  <w:style w:type="paragraph" w:styleId="Heading1">
    <w:name w:val="heading 1"/>
    <w:basedOn w:val="Normal"/>
    <w:next w:val="Normal"/>
    <w:link w:val="Heading1Char"/>
    <w:uiPriority w:val="9"/>
    <w:qFormat/>
    <w:rsid w:val="00DA699B"/>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DA699B"/>
    <w:pPr>
      <w:ind w:left="0"/>
      <w:jc w:val="left"/>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DA699B"/>
    <w:pPr>
      <w:spacing w:before="40"/>
      <w:ind w:left="0"/>
      <w:jc w:val="left"/>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DA699B"/>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DA699B"/>
    <w:pPr>
      <w:spacing w:line="259" w:lineRule="auto"/>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699B"/>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DA699B"/>
    <w:rPr>
      <w:rFonts w:ascii="David" w:hAnsi="David" w:cs="David"/>
      <w:b/>
      <w:bCs/>
      <w:color w:val="000000" w:themeColor="text1"/>
      <w:sz w:val="24"/>
      <w:szCs w:val="28"/>
    </w:rPr>
  </w:style>
  <w:style w:type="paragraph" w:customStyle="1" w:styleId="TableText">
    <w:name w:val="Table Text"/>
    <w:basedOn w:val="Normal"/>
    <w:rsid w:val="00DA699B"/>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DA699B"/>
    <w:pPr>
      <w:outlineLvl w:val="2"/>
    </w:pPr>
  </w:style>
  <w:style w:type="paragraph" w:customStyle="1" w:styleId="TableBlock">
    <w:name w:val="Table Block"/>
    <w:basedOn w:val="TableText"/>
    <w:rsid w:val="00DA699B"/>
    <w:pPr>
      <w:jc w:val="both"/>
    </w:pPr>
  </w:style>
  <w:style w:type="paragraph" w:customStyle="1" w:styleId="TableHead">
    <w:name w:val="Table Head"/>
    <w:basedOn w:val="TableText"/>
    <w:rsid w:val="00DA699B"/>
    <w:pPr>
      <w:jc w:val="center"/>
      <w:outlineLvl w:val="1"/>
    </w:pPr>
    <w:rPr>
      <w:b/>
      <w:bCs/>
    </w:rPr>
  </w:style>
  <w:style w:type="paragraph" w:customStyle="1" w:styleId="HeadMitparsemetBaze">
    <w:name w:val="Head MitparsemetBaze"/>
    <w:basedOn w:val="Normal"/>
    <w:rsid w:val="00DA699B"/>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DA699B"/>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DA699B"/>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DA699B"/>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DA699B"/>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DA699B"/>
    <w:rPr>
      <w:rFonts w:ascii="David" w:hAnsi="David" w:cs="David"/>
      <w:color w:val="000000" w:themeColor="text1"/>
      <w:sz w:val="24"/>
      <w:szCs w:val="24"/>
    </w:rPr>
  </w:style>
  <w:style w:type="paragraph" w:customStyle="1" w:styleId="HeadHatzaotHok4Futer">
    <w:name w:val="Head HatzaotHok4Futer"/>
    <w:basedOn w:val="HeadHatzaotHok"/>
    <w:rsid w:val="00DA699B"/>
    <w:pPr>
      <w:spacing w:before="120" w:after="120"/>
    </w:pPr>
    <w:rPr>
      <w:color w:val="FF0000"/>
      <w:w w:val="80"/>
    </w:rPr>
  </w:style>
  <w:style w:type="paragraph" w:styleId="EndnoteText">
    <w:name w:val="endnote text"/>
    <w:basedOn w:val="Normal"/>
    <w:link w:val="EndnoteTextChar"/>
    <w:semiHidden/>
    <w:rsid w:val="00DA699B"/>
    <w:pPr>
      <w:ind w:left="227" w:hanging="227"/>
    </w:pPr>
    <w:rPr>
      <w:sz w:val="14"/>
      <w:szCs w:val="22"/>
    </w:rPr>
  </w:style>
  <w:style w:type="character" w:customStyle="1" w:styleId="EndnoteTextChar">
    <w:name w:val="Endnote Text Char"/>
    <w:basedOn w:val="DefaultParagraphFont"/>
    <w:link w:val="EndnoteText"/>
    <w:semiHidden/>
    <w:rsid w:val="003A35C0"/>
    <w:rPr>
      <w:rFonts w:ascii="David" w:hAnsi="David" w:cs="David"/>
      <w:sz w:val="14"/>
    </w:rPr>
  </w:style>
  <w:style w:type="paragraph" w:customStyle="1" w:styleId="TableInnerSideHeading">
    <w:name w:val="Table InnerSideHeading"/>
    <w:basedOn w:val="TableSideHeading"/>
    <w:rsid w:val="00DA699B"/>
    <w:pPr>
      <w:outlineLvl w:val="9"/>
    </w:pPr>
  </w:style>
  <w:style w:type="paragraph" w:customStyle="1" w:styleId="Hesber">
    <w:name w:val="Hesber"/>
    <w:basedOn w:val="Normal"/>
    <w:rsid w:val="00DA699B"/>
    <w:pPr>
      <w:snapToGrid w:val="0"/>
      <w:ind w:left="0"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DA699B"/>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3A35C0"/>
    <w:rPr>
      <w:rFonts w:ascii="Arial" w:eastAsia="Arial Unicode MS" w:hAnsi="Arial" w:cs="David"/>
      <w:snapToGrid w:val="0"/>
      <w:sz w:val="14"/>
      <w:szCs w:val="20"/>
    </w:rPr>
  </w:style>
  <w:style w:type="character" w:styleId="FootnoteReference">
    <w:name w:val="footnote reference"/>
    <w:basedOn w:val="DefaultParagraphFont"/>
    <w:semiHidden/>
    <w:rsid w:val="00DA699B"/>
    <w:rPr>
      <w:vertAlign w:val="superscript"/>
    </w:rPr>
  </w:style>
  <w:style w:type="paragraph" w:customStyle="1" w:styleId="HesberHeading">
    <w:name w:val="Hesber Heading"/>
    <w:basedOn w:val="Hesber"/>
    <w:rsid w:val="00DA699B"/>
    <w:pPr>
      <w:tabs>
        <w:tab w:val="left" w:pos="624"/>
        <w:tab w:val="left" w:pos="1247"/>
      </w:tabs>
    </w:pPr>
    <w:rPr>
      <w:b/>
      <w:bCs/>
    </w:rPr>
  </w:style>
  <w:style w:type="paragraph" w:customStyle="1" w:styleId="HesberWriters">
    <w:name w:val="Hesber Writers"/>
    <w:basedOn w:val="Hesber"/>
    <w:rsid w:val="00DA699B"/>
    <w:pPr>
      <w:spacing w:before="120" w:after="120"/>
      <w:ind w:left="1418"/>
      <w:jc w:val="right"/>
    </w:pPr>
    <w:rPr>
      <w:b/>
      <w:bCs/>
    </w:rPr>
  </w:style>
  <w:style w:type="paragraph" w:customStyle="1" w:styleId="Hesber1st">
    <w:name w:val="Hesber 1st"/>
    <w:basedOn w:val="Hesber"/>
    <w:rsid w:val="00DA699B"/>
    <w:pPr>
      <w:tabs>
        <w:tab w:val="left" w:pos="680"/>
        <w:tab w:val="left" w:pos="1020"/>
      </w:tabs>
      <w:ind w:firstLine="0"/>
    </w:pPr>
  </w:style>
  <w:style w:type="character" w:styleId="EndnoteReference">
    <w:name w:val="endnote reference"/>
    <w:basedOn w:val="DefaultParagraphFont"/>
    <w:semiHidden/>
    <w:rsid w:val="00DA699B"/>
    <w:rPr>
      <w:vertAlign w:val="superscript"/>
    </w:rPr>
  </w:style>
  <w:style w:type="paragraph" w:customStyle="1" w:styleId="TableBlockOutdent">
    <w:name w:val="Table BlockOutdent"/>
    <w:basedOn w:val="TableBlock"/>
    <w:rsid w:val="00DA699B"/>
    <w:pPr>
      <w:ind w:left="624" w:hanging="624"/>
    </w:pPr>
  </w:style>
  <w:style w:type="paragraph" w:styleId="Header">
    <w:name w:val="header"/>
    <w:basedOn w:val="Normal"/>
    <w:link w:val="HeaderChar"/>
    <w:rsid w:val="00DA699B"/>
    <w:pPr>
      <w:tabs>
        <w:tab w:val="center" w:pos="4153"/>
        <w:tab w:val="right" w:pos="8306"/>
      </w:tabs>
    </w:pPr>
  </w:style>
  <w:style w:type="character" w:customStyle="1" w:styleId="HeaderChar">
    <w:name w:val="Header Char"/>
    <w:basedOn w:val="DefaultParagraphFont"/>
    <w:link w:val="Header"/>
    <w:rsid w:val="003A35C0"/>
    <w:rPr>
      <w:rFonts w:ascii="David" w:hAnsi="David" w:cs="David"/>
      <w:sz w:val="24"/>
      <w:szCs w:val="24"/>
    </w:rPr>
  </w:style>
  <w:style w:type="paragraph" w:styleId="Footer">
    <w:name w:val="footer"/>
    <w:basedOn w:val="Normal"/>
    <w:link w:val="FooterChar"/>
    <w:rsid w:val="00DA699B"/>
    <w:pPr>
      <w:tabs>
        <w:tab w:val="center" w:pos="4153"/>
        <w:tab w:val="right" w:pos="8306"/>
      </w:tabs>
    </w:pPr>
  </w:style>
  <w:style w:type="character" w:customStyle="1" w:styleId="FooterChar">
    <w:name w:val="Footer Char"/>
    <w:basedOn w:val="DefaultParagraphFont"/>
    <w:link w:val="Footer"/>
    <w:rsid w:val="003A35C0"/>
    <w:rPr>
      <w:rFonts w:ascii="David" w:hAnsi="David" w:cs="David"/>
      <w:sz w:val="24"/>
      <w:szCs w:val="24"/>
    </w:rPr>
  </w:style>
  <w:style w:type="character" w:styleId="PageNumber">
    <w:name w:val="page number"/>
    <w:basedOn w:val="DefaultParagraphFont"/>
    <w:rsid w:val="00DA699B"/>
  </w:style>
  <w:style w:type="paragraph" w:customStyle="1" w:styleId="Cover1-Reshumot">
    <w:name w:val="Cover 1-Reshumot"/>
    <w:basedOn w:val="Normal"/>
    <w:rsid w:val="00DA699B"/>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DA699B"/>
    <w:rPr>
      <w:sz w:val="36"/>
      <w:szCs w:val="52"/>
    </w:rPr>
  </w:style>
  <w:style w:type="paragraph" w:customStyle="1" w:styleId="Cover3-Haknesset">
    <w:name w:val="Cover 3-Haknesset"/>
    <w:basedOn w:val="Cover1-Reshumot"/>
    <w:rsid w:val="00DA699B"/>
    <w:rPr>
      <w:b/>
      <w:bCs/>
      <w:spacing w:val="60"/>
    </w:rPr>
  </w:style>
  <w:style w:type="paragraph" w:customStyle="1" w:styleId="Cover4-Date">
    <w:name w:val="Cover 4-Date"/>
    <w:basedOn w:val="Normal"/>
    <w:rsid w:val="00DA699B"/>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Normal"/>
    <w:rsid w:val="00DA699B"/>
    <w:pPr>
      <w:snapToGrid w:val="0"/>
      <w:jc w:val="left"/>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DA699B"/>
    <w:pPr>
      <w:widowControl/>
      <w:spacing w:before="120" w:after="120"/>
      <w:outlineLvl w:val="9"/>
    </w:pPr>
    <w:rPr>
      <w:rtl/>
      <w:cs/>
    </w:rPr>
  </w:style>
  <w:style w:type="paragraph" w:styleId="TOC1">
    <w:name w:val="toc 1"/>
    <w:basedOn w:val="Normal"/>
    <w:next w:val="Normal"/>
    <w:autoRedefine/>
    <w:uiPriority w:val="39"/>
    <w:unhideWhenUsed/>
    <w:rsid w:val="00DA699B"/>
    <w:pPr>
      <w:tabs>
        <w:tab w:val="right" w:leader="dot" w:pos="9629"/>
      </w:tabs>
      <w:spacing w:after="100"/>
    </w:pPr>
    <w:rPr>
      <w:bCs/>
      <w:szCs w:val="22"/>
    </w:rPr>
  </w:style>
  <w:style w:type="paragraph" w:styleId="TOC2">
    <w:name w:val="toc 2"/>
    <w:basedOn w:val="Normal"/>
    <w:next w:val="Normal"/>
    <w:uiPriority w:val="39"/>
    <w:unhideWhenUsed/>
    <w:rsid w:val="00DA699B"/>
    <w:pPr>
      <w:tabs>
        <w:tab w:val="right" w:leader="dot" w:pos="9628"/>
      </w:tabs>
      <w:spacing w:after="100"/>
    </w:pPr>
    <w:rPr>
      <w:szCs w:val="22"/>
    </w:rPr>
  </w:style>
  <w:style w:type="character" w:styleId="Hyperlink">
    <w:name w:val="Hyperlink"/>
    <w:basedOn w:val="DefaultParagraphFont"/>
    <w:uiPriority w:val="99"/>
    <w:unhideWhenUsed/>
    <w:rsid w:val="00DA699B"/>
    <w:rPr>
      <w:color w:val="0563C1" w:themeColor="hyperlink"/>
      <w:u w:val="single"/>
    </w:rPr>
  </w:style>
  <w:style w:type="paragraph" w:styleId="TOC3">
    <w:name w:val="toc 3"/>
    <w:basedOn w:val="Normal"/>
    <w:next w:val="Normal"/>
    <w:uiPriority w:val="39"/>
    <w:unhideWhenUsed/>
    <w:rsid w:val="00DA699B"/>
    <w:pPr>
      <w:numPr>
        <w:numId w:val="19"/>
      </w:numPr>
      <w:tabs>
        <w:tab w:val="right" w:leader="dot" w:pos="9629"/>
      </w:tabs>
      <w:spacing w:after="100"/>
      <w:ind w:left="811" w:hanging="357"/>
    </w:pPr>
    <w:rPr>
      <w:szCs w:val="22"/>
    </w:rPr>
  </w:style>
  <w:style w:type="paragraph" w:styleId="TOC4">
    <w:name w:val="toc 4"/>
    <w:basedOn w:val="Normal"/>
    <w:next w:val="Normal"/>
    <w:autoRedefine/>
    <w:uiPriority w:val="39"/>
    <w:unhideWhenUsed/>
    <w:qFormat/>
    <w:rsid w:val="00DA699B"/>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DA699B"/>
    <w:pPr>
      <w:tabs>
        <w:tab w:val="right" w:leader="dot" w:pos="9628"/>
      </w:tabs>
      <w:spacing w:after="100"/>
      <w:ind w:left="567"/>
    </w:pPr>
    <w:rPr>
      <w:szCs w:val="22"/>
    </w:rPr>
  </w:style>
  <w:style w:type="paragraph" w:styleId="TOC6">
    <w:name w:val="toc 6"/>
    <w:basedOn w:val="Normal"/>
    <w:next w:val="Normal"/>
    <w:autoRedefine/>
    <w:semiHidden/>
    <w:unhideWhenUsed/>
    <w:rsid w:val="00DA699B"/>
    <w:pPr>
      <w:spacing w:after="100"/>
      <w:ind w:left="850"/>
    </w:pPr>
  </w:style>
  <w:style w:type="paragraph" w:styleId="TOC7">
    <w:name w:val="toc 7"/>
    <w:basedOn w:val="Normal"/>
    <w:next w:val="Normal"/>
    <w:autoRedefine/>
    <w:semiHidden/>
    <w:unhideWhenUsed/>
    <w:rsid w:val="00DA699B"/>
    <w:pPr>
      <w:spacing w:after="100"/>
      <w:ind w:left="1020"/>
    </w:pPr>
  </w:style>
  <w:style w:type="paragraph" w:styleId="TOC8">
    <w:name w:val="toc 8"/>
    <w:basedOn w:val="Normal"/>
    <w:next w:val="Normal"/>
    <w:autoRedefine/>
    <w:semiHidden/>
    <w:unhideWhenUsed/>
    <w:rsid w:val="00DA699B"/>
    <w:pPr>
      <w:spacing w:after="100"/>
      <w:ind w:left="1190"/>
    </w:pPr>
  </w:style>
  <w:style w:type="paragraph" w:styleId="TOC9">
    <w:name w:val="toc 9"/>
    <w:basedOn w:val="Normal"/>
    <w:next w:val="Normal"/>
    <w:autoRedefine/>
    <w:semiHidden/>
    <w:unhideWhenUsed/>
    <w:rsid w:val="00DA699B"/>
    <w:pPr>
      <w:spacing w:after="100"/>
      <w:ind w:left="1360"/>
    </w:pPr>
  </w:style>
  <w:style w:type="paragraph" w:customStyle="1" w:styleId="TableHead2">
    <w:name w:val="Table Head2"/>
    <w:basedOn w:val="TableHead"/>
    <w:qFormat/>
    <w:rsid w:val="00DA699B"/>
    <w:pPr>
      <w:outlineLvl w:val="9"/>
    </w:pPr>
  </w:style>
  <w:style w:type="paragraph" w:customStyle="1" w:styleId="TableSideHeading2">
    <w:name w:val="Table SideHeading2"/>
    <w:basedOn w:val="TableSideHeading"/>
    <w:autoRedefine/>
    <w:qFormat/>
    <w:rsid w:val="00DA699B"/>
    <w:pPr>
      <w:keepLines w:val="0"/>
      <w:outlineLvl w:val="9"/>
    </w:pPr>
  </w:style>
  <w:style w:type="paragraph" w:customStyle="1" w:styleId="0">
    <w:name w:val="סגנון שורה ראשונה:  0  ס''מ"/>
    <w:basedOn w:val="Heading2"/>
    <w:rsid w:val="00DA699B"/>
    <w:rPr>
      <w:rFonts w:eastAsia="Times New Roman"/>
    </w:rPr>
  </w:style>
  <w:style w:type="paragraph" w:styleId="ListParagraph">
    <w:name w:val="List Paragraph"/>
    <w:basedOn w:val="Normal"/>
    <w:uiPriority w:val="34"/>
    <w:qFormat/>
    <w:rsid w:val="00DA699B"/>
    <w:pPr>
      <w:widowControl/>
      <w:spacing w:line="259" w:lineRule="auto"/>
    </w:pPr>
    <w:rPr>
      <w:rFonts w:asciiTheme="minorHAnsi" w:hAnsiTheme="minorHAnsi"/>
      <w:sz w:val="22"/>
    </w:rPr>
  </w:style>
  <w:style w:type="table" w:styleId="TableGrid">
    <w:name w:val="Table Grid"/>
    <w:basedOn w:val="TableNormal"/>
    <w:rsid w:val="00DA699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DA699B"/>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A699B"/>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DA699B"/>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DA699B"/>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styleId="BalloonText">
    <w:name w:val="Balloon Text"/>
    <w:basedOn w:val="Normal"/>
    <w:link w:val="BalloonTextChar"/>
    <w:uiPriority w:val="99"/>
    <w:semiHidden/>
    <w:unhideWhenUsed/>
    <w:rsid w:val="005F05C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5CA"/>
    <w:rPr>
      <w:rFonts w:ascii="Segoe UI" w:hAnsi="Segoe UI" w:cs="Segoe UI"/>
      <w:sz w:val="18"/>
      <w:szCs w:val="18"/>
    </w:rPr>
  </w:style>
  <w:style w:type="character" w:styleId="CommentReference">
    <w:name w:val="annotation reference"/>
    <w:basedOn w:val="DefaultParagraphFont"/>
    <w:uiPriority w:val="99"/>
    <w:semiHidden/>
    <w:unhideWhenUsed/>
    <w:rsid w:val="005F05CA"/>
    <w:rPr>
      <w:sz w:val="16"/>
      <w:szCs w:val="16"/>
    </w:rPr>
  </w:style>
  <w:style w:type="paragraph" w:styleId="CommentText">
    <w:name w:val="annotation text"/>
    <w:basedOn w:val="Normal"/>
    <w:link w:val="CommentTextChar"/>
    <w:uiPriority w:val="99"/>
    <w:semiHidden/>
    <w:unhideWhenUsed/>
    <w:rsid w:val="005F05CA"/>
    <w:pPr>
      <w:spacing w:line="240" w:lineRule="auto"/>
    </w:pPr>
    <w:rPr>
      <w:sz w:val="20"/>
      <w:szCs w:val="20"/>
    </w:rPr>
  </w:style>
  <w:style w:type="character" w:customStyle="1" w:styleId="CommentTextChar">
    <w:name w:val="Comment Text Char"/>
    <w:basedOn w:val="DefaultParagraphFont"/>
    <w:link w:val="CommentText"/>
    <w:uiPriority w:val="99"/>
    <w:semiHidden/>
    <w:rsid w:val="005F05CA"/>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5F05CA"/>
    <w:rPr>
      <w:b/>
      <w:bCs/>
    </w:rPr>
  </w:style>
  <w:style w:type="character" w:customStyle="1" w:styleId="CommentSubjectChar">
    <w:name w:val="Comment Subject Char"/>
    <w:basedOn w:val="CommentTextChar"/>
    <w:link w:val="CommentSubject"/>
    <w:uiPriority w:val="99"/>
    <w:semiHidden/>
    <w:rsid w:val="005F05CA"/>
    <w:rPr>
      <w:rFonts w:ascii="David"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54BC1-6556-4775-94DA-CAE8ACCDD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996</Words>
  <Characters>4982</Characters>
  <Application>Microsoft Office Word</Application>
  <DocSecurity>4</DocSecurity>
  <Lines>41</Lines>
  <Paragraphs>11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 Belkin</dc:creator>
  <cp:keywords/>
  <dc:description/>
  <cp:lastModifiedBy>Melita Shafir</cp:lastModifiedBy>
  <cp:revision>2</cp:revision>
  <dcterms:created xsi:type="dcterms:W3CDTF">2021-05-05T12:27:00Z</dcterms:created>
  <dcterms:modified xsi:type="dcterms:W3CDTF">2021-05-05T12:27:00Z</dcterms:modified>
</cp:coreProperties>
</file>